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VO-ID212873 (Brandenburg)</w:t>
      </w:r>
    </w:p>
    <w:p>
      <w:r>
        <w:rPr>
          <w:color w:val="555555"/>
          <w:sz w:val="18"/>
        </w:rPr>
        <w:t xml:space="preserve">Verordnung über die Zuständigkeit in Namensänderungsangelegenheiten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 Behörde nach Artikel I § 2 Abs. 1 und 2 der Ersten Verordnung zur Durchführung des Gesetzes über die Änderung des Familiennamens und Vornamens ist die Kreisordnungsbehörde,</w:t>
      </w:r>
    </w:p>
    <w:p>
      <w:r>
        <w:t xml:space="preserve">in den Großen kreisangehörigen Städten Eberswalde, Eisenhüttenstadt,</w:t>
      </w:r>
    </w:p>
    <w:p>
      <w:r>
        <w:t xml:space="preserve">Falkensee, Oranienburg und Schwedt/Oder die örtliche Ordnungsbehörde.</w:t>
      </w:r>
    </w:p>
    <w:p>
      <w:r>
        <w:rPr>
          <w:color w:val="555555"/>
          <w:sz w:val="17"/>
        </w:rPr>
        <w:t xml:space="preserve">Zitiervorschlag: § 2 VO-ID212873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https://recht.nulegal.eu/gesetze/VO-ID212873/2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