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VO-ID212866 (Brandenburg) — Duldungspflichten</w:t>
      </w:r>
    </w:p>
    <w:p>
      <w:r>
        <w:rPr>
          <w:color w:val="555555"/>
          <w:sz w:val="18"/>
        </w:rPr>
        <w:t xml:space="preserve">Verordnung zur Festsetzung des Wasserschutzgebietes für das Wasserwerk Potsdam-Leipziger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die Begünstigte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der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t xml:space="preserve">(3) Auf Verlangen der Wasserbehörde ist Einsicht in die Aufzeichnungen nach § 3 Nummer 2 Buchstabe d dieser Verordnung zu gewähren oder diese unverzüglich vorzulegen.</w:t>
      </w:r>
    </w:p>
    <w:p>
      <w:r>
        <w:rPr>
          <w:color w:val="555555"/>
          <w:sz w:val="17"/>
        </w:rPr>
        <w:t xml:space="preserve">Zitiervorschlag: § 9 VO-ID212866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https://recht.nulegal.eu/gesetze/VO-ID212866/9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