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VO-ID212866 (Brandenburg) — Widerruf von Befreiungen</w:t>
      </w:r>
    </w:p>
    <w:p>
      <w:r>
        <w:rPr>
          <w:color w:val="555555"/>
          <w:sz w:val="18"/>
        </w:rPr>
        <w:t xml:space="preserve">Verordnung zur Festsetzung des Wasserschutzgebietes für das Wasserwerk Potsdam-Leipziger Straße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Befreiungen nach § 52 Absatz 1 Satz 2 des Wasserhaushaltsgesetzes sind widerruflich und erfolgen durch schriftlichen oder elektronischen Bescheid . Abweichend von Satz 1 ist eine Befreiung von den Verboten gemäß § 3 Nummer 53 und 54 nicht widerruflich.</w:t>
      </w:r>
    </w:p>
    <w:p>
      <w:r>
        <w:t xml:space="preserve">(2) Im Fall des Widerrufs einer Befreiung kann die untere Wasserbehörde vom Grundstückseigentümer verlangen, dass der frühere Zustand wiederhergestellt wird, sofern es das Wohl der Allgemeinheit, insbesondere der Schutz der Wasserversorgung, erfordert.</w:t>
      </w:r>
    </w:p>
    <w:p>
      <w:r>
        <w:rPr>
          <w:color w:val="555555"/>
          <w:sz w:val="17"/>
        </w:rPr>
        <w:t xml:space="preserve">Zitiervorschlag: § 7 VO-ID212866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https://recht.nulegal.eu/gesetze/VO-ID212866/7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