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VO-ID212866 (Brandenburg) — Räumlicher Geltungsbereich</w:t>
      </w:r>
    </w:p>
    <w:p>
      <w:r>
        <w:rPr>
          <w:color w:val="555555"/>
          <w:sz w:val="18"/>
        </w:rPr>
        <w:t xml:space="preserve">Verordnung zur Festsetzung des Wasserschutzgebietes für das Wasserwerk Potsdam-Leipziger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zwölf Blättern besteht, dargestellt. Für die Abgrenzung der Schutzzonen ist die Darstellung in der Liegenschaftskarte maßgebend.</w:t>
      </w:r>
    </w:p>
    <w:p>
      <w:r>
        <w:t xml:space="preserve">(3) Zu Informationszwecken werden zusätzlich auf Papier ausgefertigte Exemplare der in Absatz 2 genannten Karten bei den unteren Wasserbehörden der kreisfreien Stadt Potsdam und des Landkreises Potsdam-Mittelmark sowie in den Gemeinden Michendorf und Nuthetal hinterlegt und können dort während der Dienststunden von jedermann kostenlos eingesehen werden. Diese Karten sind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VO-ID212866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https://recht.nulegal.eu/gesetze/VO-ID212866/2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