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VO-ID212866 (Brandenburg) — Ordnungswidrigkeiten</w:t>
      </w:r>
    </w:p>
    <w:p>
      <w:r>
        <w:rPr>
          <w:color w:val="555555"/>
          <w:sz w:val="18"/>
        </w:rPr>
        <w:t xml:space="preserve">Verordnung zur Festsetzung des Wasserschutzgebietes für das Wasserwerk Potsdam-Leipziger Straße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103 Absatz 1 Nummer 7a des Wasserhaushaltsgesetzes handelt, wer vorsätzlich oder fahrlässig eine nach den §§ 3, 4 oder 5 verbotene Handlung ohne eine Befreiung gemäß § 52 Absatz 1 Satz 2 des Wasserhaushaltsgesetzes vornimmt, ausgenommen die Verbote nach § 4 Nummer 16 und 17.</w:t>
      </w:r>
    </w:p>
    <w:p>
      <w:r>
        <w:t xml:space="preserve">(2) Die Ordnungswidrigkeit kann mit einer Geldbuße bis zu fünfzigtausend Euro geahndet werden.</w:t>
      </w:r>
    </w:p>
    <w:p>
      <w:r>
        <w:rPr>
          <w:color w:val="555555"/>
          <w:sz w:val="17"/>
        </w:rPr>
        <w:t xml:space="preserve">Zitiervorschlag: § 11 VO-ID212866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https://recht.nulegal.eu/gesetze/VO-ID212866/11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