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VO-ID212861 (Brandenburg) — Ordnungswidrigkeiten</w:t>
      </w:r>
    </w:p>
    <w:p>
      <w:r>
        <w:rPr>
          <w:color w:val="555555"/>
          <w:sz w:val="18"/>
        </w:rPr>
        <w:t xml:space="preserve">Verordnung über das Landschaftsschutzgebiet „Notte-Niederung“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Absatz 2 Nummer 2 des Brandenburgischen</w:t>
      </w:r>
    </w:p>
    <w:p>
      <w:r>
        <w:t xml:space="preserve">Naturschutzgesetzes handelt, wer vorsätzlich oder fahrlässig</w:t>
      </w:r>
    </w:p>
    <w:p>
      <w:r>
        <w:t xml:space="preserve">den Vorschriften des § 4 Absatz 1 Nummer 1 bis 5 zuwiderhandelt;</w:t>
      </w:r>
    </w:p>
    <w:p>
      <w:r>
        <w:t xml:space="preserve">Handlungen nach § 4 Absatz 2 Satz 2 Nummer 1 bis 10 ohne die</w:t>
      </w:r>
    </w:p>
    <w:p>
      <w:r>
        <w:t xml:space="preserve">erforderliche Genehmigung vornimmt;</w:t>
      </w:r>
    </w:p>
    <w:p>
      <w:r>
        <w:t xml:space="preserve">den Maßgaben des § 5 zuwiderhandelt.</w:t>
      </w:r>
    </w:p>
    <w:p>
      <w:r>
        <w:t xml:space="preserve">(2) Ordnungswidrigkeiten nach Absatz 1 können gemäß § 74 des</w:t>
      </w:r>
    </w:p>
    <w:p>
      <w:r>
        <w:t xml:space="preserve">Brandenburgischen Naturschutzgesetzes mit einer Geldbuße bis zu fünfzigtausend</w:t>
      </w:r>
    </w:p>
    <w:p>
      <w:r>
        <w:t xml:space="preserve">Euro geahndet werden.</w:t>
      </w:r>
    </w:p>
    <w:p>
      <w:r>
        <w:rPr>
          <w:color w:val="555555"/>
          <w:sz w:val="17"/>
        </w:rPr>
        <w:t xml:space="preserve">Zitiervorschlag: § 8 VO-ID212861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https://recht.nulegal.eu/gesetze/VO-ID212861/8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