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VO-ID212861 (Brandenburg) — Erklärung zum Schutzgebiet</w:t>
      </w:r>
    </w:p>
    <w:p>
      <w:r>
        <w:rPr>
          <w:color w:val="555555"/>
          <w:sz w:val="18"/>
        </w:rPr>
        <w:t xml:space="preserve">Verordnung über das Landschaftsschutzgebiet „Notte-Niederung“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den Landkreisen Dahme-Spreewald und</w:t>
      </w:r>
    </w:p>
    <w:p>
      <w:r>
        <w:t xml:space="preserve">Teltow-Fläming wird als Landschaftsschutzgebiet festgesetzt. Das</w:t>
      </w:r>
    </w:p>
    <w:p>
      <w:r>
        <w:t xml:space="preserve">Landschaftsschutzgebiet trägt die Bezeichnung „Notte-Niederung“.</w:t>
      </w:r>
    </w:p>
    <w:p>
      <w:r>
        <w:rPr>
          <w:color w:val="555555"/>
          <w:sz w:val="17"/>
        </w:rPr>
        <w:t xml:space="preserve">Zitiervorschlag: § 1 VO-ID212861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