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VO-ID212860 (Brandenburg) — Zulässige Handlungen</w:t>
      </w:r>
    </w:p>
    <w:p>
      <w:r>
        <w:rPr>
          <w:color w:val="555555"/>
          <w:sz w:val="18"/>
        </w:rPr>
        <w:t xml:space="preserve">Verordnung über das Landschaftsschutzgebiet „Agrarlandschaft Prignitz-Stepenitz“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Entgegen §</w:t>
      </w:r>
    </w:p>
    <w:p>
      <w:r>
        <w:t xml:space="preserve">4 bleiben zulässig:</w:t>
      </w:r>
    </w:p>
    <w:p>
      <w:r>
        <w:t xml:space="preserve">die den in §</w:t>
      </w:r>
    </w:p>
    <w:p>
      <w:r>
        <w:t xml:space="preserve">1b Abs. 4 des Brandenburgischen Naturschutzgesetzes genannten Anforderungen und</w:t>
      </w:r>
    </w:p>
    <w:p>
      <w:r>
        <w:t xml:space="preserve">Grundsätzen entsprechende landwirtschaftliche Bodennutzung auf den bisher</w:t>
      </w:r>
    </w:p>
    <w:p>
      <w:r>
        <w:t xml:space="preserve">rechtmäßig dafür genutzten Flächen mit der Maßgabe, dass</w:t>
      </w:r>
    </w:p>
    <w:p>
      <w:r>
        <w:t xml:space="preserve">Grünland</w:t>
      </w:r>
    </w:p>
    <w:p>
      <w:r>
        <w:t xml:space="preserve">innerhalb der Zonen 1 und 1a als Wiese oder Weide genutzt wird und die jährliche</w:t>
      </w:r>
    </w:p>
    <w:p>
      <w:r>
        <w:t xml:space="preserve">Zufuhr an Pflanzennährstoffen über Düngemittel inklusive der Exkremente von</w:t>
      </w:r>
    </w:p>
    <w:p>
      <w:r>
        <w:t xml:space="preserve">Weidetieren je Hektar Grünland die Menge nicht überschreitet, die dem</w:t>
      </w:r>
    </w:p>
    <w:p>
      <w:r>
        <w:t xml:space="preserve">Nährstoffäquivalent des Dunganfalls von 1,4 Raufutter verwertenden</w:t>
      </w:r>
    </w:p>
    <w:p>
      <w:r>
        <w:t xml:space="preserve">Großvieheinheiten (RGV) entspricht, ohne chemisch-synthetische</w:t>
      </w:r>
    </w:p>
    <w:p>
      <w:r>
        <w:t xml:space="preserve">Stickstoffdüngemittel und Sekundärrohstoffdünger wie zum Beispiel Abwasser,</w:t>
      </w:r>
    </w:p>
    <w:p>
      <w:r>
        <w:t xml:space="preserve">Klärschlamm und Bioabfälle einzusetzen oder Pflanzenschutzmittel jeder Art</w:t>
      </w:r>
    </w:p>
    <w:p>
      <w:r>
        <w:t xml:space="preserve">anzuwenden. Der Einsatz von Kartoffelfruchtwasser bleibt zulässig,</w:t>
      </w:r>
    </w:p>
    <w:p>
      <w:r>
        <w:t xml:space="preserve">auf Grünland</w:t>
      </w:r>
    </w:p>
    <w:p>
      <w:r>
        <w:t xml:space="preserve">innerhalb der Zone 1a über die Maßgaben des Buchstabens a hinaus der Einsatz von</w:t>
      </w:r>
    </w:p>
    <w:p>
      <w:r>
        <w:t xml:space="preserve">Gülle unzulässig ist,</w:t>
      </w:r>
    </w:p>
    <w:p>
      <w:r>
        <w:t xml:space="preserve">§ 4 Abs. 1 Nr.</w:t>
      </w:r>
    </w:p>
    <w:p>
      <w:r>
        <w:t xml:space="preserve">2 und 8 gilt,</w:t>
      </w:r>
    </w:p>
    <w:p>
      <w:r>
        <w:t xml:space="preserve">§ 4 Abs. 2 Nr.</w:t>
      </w:r>
    </w:p>
    <w:p>
      <w:r>
        <w:t xml:space="preserve">7 und 14 gilt;</w:t>
      </w:r>
    </w:p>
    <w:p>
      <w:r>
        <w:t xml:space="preserve">die den in §</w:t>
      </w:r>
    </w:p>
    <w:p>
      <w:r>
        <w:t xml:space="preserve">1b Abs. 5 des Brandenburgischen Naturschutzgesetzes genannten Anforderungen in</w:t>
      </w:r>
    </w:p>
    <w:p>
      <w:r>
        <w:t xml:space="preserve">Verbindung mit dem Waldgesetz des Landes Brandenburg entsprechende</w:t>
      </w:r>
    </w:p>
    <w:p>
      <w:r>
        <w:t xml:space="preserve">forstwirtschaftliche Bodennutzung auf den bisher rechtmäßig dafür genutzten</w:t>
      </w:r>
    </w:p>
    <w:p>
      <w:r>
        <w:t xml:space="preserve">Flächen mit der Maßgabe, dass</w:t>
      </w:r>
    </w:p>
    <w:p>
      <w:r>
        <w:t xml:space="preserve">§ 4 Abs. 1 Nr.</w:t>
      </w:r>
    </w:p>
    <w:p>
      <w:r>
        <w:t xml:space="preserve">10 und 11 gilt,</w:t>
      </w:r>
    </w:p>
    <w:p>
      <w:r>
        <w:t xml:space="preserve">§ 4 Abs. 2 Nr.</w:t>
      </w:r>
    </w:p>
    <w:p>
      <w:r>
        <w:t xml:space="preserve">15 gilt;</w:t>
      </w:r>
    </w:p>
    <w:p>
      <w:r>
        <w:t xml:space="preserve">für den</w:t>
      </w:r>
    </w:p>
    <w:p>
      <w:r>
        <w:t xml:space="preserve">Bereich der Jagd:</w:t>
      </w:r>
    </w:p>
    <w:p>
      <w:r>
        <w:t xml:space="preserve">die</w:t>
      </w:r>
    </w:p>
    <w:p>
      <w:r>
        <w:t xml:space="preserve">rechtmäßige Ausübung der Jagd,</w:t>
      </w:r>
    </w:p>
    <w:p>
      <w:r>
        <w:t xml:space="preserve">die Errichtung ortsunveränderlicher jagdlicher Einrichtungen zur Ansitzjagd und das Aufstellen</w:t>
      </w:r>
    </w:p>
    <w:p>
      <w:r>
        <w:t xml:space="preserve">transportabler und mobiler Ansitzeinrichtungen;</w:t>
      </w:r>
    </w:p>
    <w:p>
      <w:r>
        <w:t xml:space="preserve">die den in §</w:t>
      </w:r>
    </w:p>
    <w:p>
      <w:r>
        <w:t xml:space="preserve">1b Abs. 6 des Brandenburgischen Naturschutzgesetzes genannten Anforderungen in</w:t>
      </w:r>
    </w:p>
    <w:p>
      <w:r>
        <w:t xml:space="preserve">Verbindung mit dem Fischereigesetz für das Land Brandenburg entsprechende</w:t>
      </w:r>
    </w:p>
    <w:p>
      <w:r>
        <w:t xml:space="preserve">fischereiwirtschaftliche Flächennutzung und die Angelfischerei auf den bisher</w:t>
      </w:r>
    </w:p>
    <w:p>
      <w:r>
        <w:t xml:space="preserve">rechtmäßig dafür genutzten Flächen mit der Maßgabe, dass § 4 Abs. 1 Nr. 6 gilt,</w:t>
      </w:r>
    </w:p>
    <w:p>
      <w:r>
        <w:t xml:space="preserve">wobei für Fischereiberechtigte und Fischereiausübungsberechtigte das Betreten</w:t>
      </w:r>
    </w:p>
    <w:p>
      <w:r>
        <w:t xml:space="preserve">zum Zwecke des Einsetzens, der Kontrolle und des Entfernens von Fanggeräten und</w:t>
      </w:r>
    </w:p>
    <w:p>
      <w:r>
        <w:t xml:space="preserve">zur ökologisch verträglichen Nutzung abgestorbener Teile von Schilf- und</w:t>
      </w:r>
    </w:p>
    <w:p>
      <w:r>
        <w:t xml:space="preserve">Rohrbeständen gemäß § 3 Abs. 1 Satz 2 des Fischereigesetzes für das Land</w:t>
      </w:r>
    </w:p>
    <w:p>
      <w:r>
        <w:t xml:space="preserve">Brandenburg gestattet bleibt;</w:t>
      </w:r>
    </w:p>
    <w:p>
      <w:r>
        <w:t xml:space="preserve">die im Sinne</w:t>
      </w:r>
    </w:p>
    <w:p>
      <w:r>
        <w:t xml:space="preserve">des § 28 des Wasserhaushaltsgesetzes und § 78 des Brandenburgischen</w:t>
      </w:r>
    </w:p>
    <w:p>
      <w:r>
        <w:t xml:space="preserve">Wassergesetzes ordnungsgemäße Unterhaltung der Gewässer, die den in § 3</w:t>
      </w:r>
    </w:p>
    <w:p>
      <w:r>
        <w:t xml:space="preserve">aufgeführten Schutzgütern nicht entgegensteht, mit der Maßgabe, dass</w:t>
      </w:r>
    </w:p>
    <w:p>
      <w:r>
        <w:t xml:space="preserve">die Maßnahmen</w:t>
      </w:r>
    </w:p>
    <w:p>
      <w:r>
        <w:t xml:space="preserve">zeitlich und räumlich möglichst derart durchgeführt werden, dass ein</w:t>
      </w:r>
    </w:p>
    <w:p>
      <w:r>
        <w:t xml:space="preserve">vielfältiger und standortgerechter Pflanzen- und Tierbestand erhalten bleibt</w:t>
      </w:r>
    </w:p>
    <w:p>
      <w:r>
        <w:t xml:space="preserve">oder sich neu entwickeln kann,</w:t>
      </w:r>
    </w:p>
    <w:p>
      <w:r>
        <w:t xml:space="preserve">bei</w:t>
      </w:r>
    </w:p>
    <w:p>
      <w:r>
        <w:t xml:space="preserve">erforderlichen Wasserbaumaßnahmen möglichst natürliche Baustoffe und</w:t>
      </w:r>
    </w:p>
    <w:p>
      <w:r>
        <w:t xml:space="preserve">ingenieurbiologische Methoden verwendet werden,</w:t>
      </w:r>
    </w:p>
    <w:p>
      <w:r>
        <w:t xml:space="preserve">keine</w:t>
      </w:r>
    </w:p>
    <w:p>
      <w:r>
        <w:t xml:space="preserve">Pflanzenschutzmittel verwendet werden;</w:t>
      </w:r>
    </w:p>
    <w:p>
      <w:r>
        <w:t xml:space="preserve">die ordnungsgemäße Unterhaltung der rechtmäßig</w:t>
      </w:r>
    </w:p>
    <w:p>
      <w:r>
        <w:t xml:space="preserve">bestehenden Anlagen einschließlich der dem öffentlichen Verkehr gewidmeten</w:t>
      </w:r>
    </w:p>
    <w:p>
      <w:r>
        <w:t xml:space="preserve">Straßen und Wege im Benehmen mit der unteren Naturschutzbehörde;</w:t>
      </w:r>
    </w:p>
    <w:p>
      <w:r>
        <w:t xml:space="preserve">Handlungen</w:t>
      </w:r>
    </w:p>
    <w:p>
      <w:r>
        <w:t xml:space="preserve">nach § 4 Abs. 1 Nr. 4 und Abs. 2 Nr. 9 in rechtmäßig bestehenden Baumschulen,</w:t>
      </w:r>
    </w:p>
    <w:p>
      <w:r>
        <w:t xml:space="preserve">Gärten, Friedhöfen, Park- und Gartenanlagen;</w:t>
      </w:r>
    </w:p>
    <w:p>
      <w:r>
        <w:t xml:space="preserve">die sonstigen</w:t>
      </w:r>
    </w:p>
    <w:p>
      <w:r>
        <w:t xml:space="preserve">bei Inkrafttreten dieser Verordnung auf Grund behördlicher</w:t>
      </w:r>
    </w:p>
    <w:p>
      <w:r>
        <w:t xml:space="preserve">Einzelfallentscheidung rechtmäßig ausgeübten Nutzungen und Befugnisse in der</w:t>
      </w:r>
    </w:p>
    <w:p>
      <w:r>
        <w:t xml:space="preserve">bisherigen Art und im bisherigen Umfang;</w:t>
      </w:r>
    </w:p>
    <w:p>
      <w:r>
        <w:t xml:space="preserve">Schutz-,</w:t>
      </w:r>
    </w:p>
    <w:p>
      <w:r>
        <w:t xml:space="preserve">Pflege-, Entwicklungs- und Wiederherstellungsmaßnahmen, die von der unteren</w:t>
      </w:r>
    </w:p>
    <w:p>
      <w:r>
        <w:t xml:space="preserve">Naturschutzbehörde zugelassen oder angeordnet worden sind;</w:t>
      </w:r>
    </w:p>
    <w:p>
      <w:r>
        <w:t xml:space="preserve">Maßnahmen zur</w:t>
      </w:r>
    </w:p>
    <w:p>
      <w:r>
        <w:t xml:space="preserve">Untersuchung von Altlastenverdachtsflächen und Verdachtsflächen sowie Maßnahmen</w:t>
      </w:r>
    </w:p>
    <w:p>
      <w:r>
        <w:t xml:space="preserve">der Altlastensanierung und der Sanierung schädlicher Bodenveränderungen gemäß</w:t>
      </w:r>
    </w:p>
    <w:p>
      <w:r>
        <w:t xml:space="preserve">Bundes-Bodenschutzgesetz sowie Maßnahmen der Munitionsräumung im Benehmen mit der unteren Naturschutzbehörde;</w:t>
      </w:r>
    </w:p>
    <w:p>
      <w:r>
        <w:t xml:space="preserve">behördliche</w:t>
      </w:r>
    </w:p>
    <w:p>
      <w:r>
        <w:t xml:space="preserve">sowie behördlich angeordnete oder zugelassene Beschilderungen, soweit sie auf</w:t>
      </w:r>
    </w:p>
    <w:p>
      <w:r>
        <w:t xml:space="preserve">den Schutzzweck des Gebietes hinweisen oder als hoheitliche Kennzeichnungen, O rts-</w:t>
      </w:r>
    </w:p>
    <w:p>
      <w:r>
        <w:t xml:space="preserve">oder Verkehrshinweise, Wegemarkierungen oder W arntafeln dienen. Darüber</w:t>
      </w:r>
    </w:p>
    <w:p>
      <w:r>
        <w:t xml:space="preserve">hinaus sind nichtamtliche Hinweisschilder im Sinne der Richtlinie des</w:t>
      </w:r>
    </w:p>
    <w:p>
      <w:r>
        <w:t xml:space="preserve">Ministeriums für Infrastruktur und Raumordnung zur Aufstellung nichtamtlicher</w:t>
      </w:r>
    </w:p>
    <w:p>
      <w:r>
        <w:t xml:space="preserve">Hinweiszeichen an Bundes-, Landes- und Kreisstraßen im Land Brandenburg vom 24.</w:t>
      </w:r>
    </w:p>
    <w:p>
      <w:r>
        <w:t xml:space="preserve">Juli 2007 an Straßen und Wegen freigestellt;</w:t>
      </w:r>
    </w:p>
    <w:p>
      <w:r>
        <w:t xml:space="preserve">Maßnahmen, die</w:t>
      </w:r>
    </w:p>
    <w:p>
      <w:r>
        <w:t xml:space="preserve">der Abwehr einer unmittelbar drohenden Gefahr für die öffentliche Sicherheit und</w:t>
      </w:r>
    </w:p>
    <w:p>
      <w:r>
        <w:t xml:space="preserve">Ordnung dienen. Die untere Naturschutzbehörde ist über die getroffenen Maßnahmen</w:t>
      </w:r>
    </w:p>
    <w:p>
      <w:r>
        <w:t xml:space="preserve">unverzüglich zu unterrichten. Sie kann nachträglich ergänzende Anordnungen zur</w:t>
      </w:r>
    </w:p>
    <w:p>
      <w:r>
        <w:t xml:space="preserve">Vereinbarkeit mit dem Schutzzweck treffen.</w:t>
      </w:r>
    </w:p>
    <w:p>
      <w:r>
        <w:t xml:space="preserve">(2) Die in § 4</w:t>
      </w:r>
    </w:p>
    <w:p>
      <w:r>
        <w:t xml:space="preserve">Abs. 1 Nr. 6 für das Betreten und Befahren des Landschaftsschutzgebietes</w:t>
      </w:r>
    </w:p>
    <w:p>
      <w:r>
        <w:t xml:space="preserve">enthaltenen Einschränkungen gelten nicht für die Dienstkräfte der</w:t>
      </w:r>
    </w:p>
    <w:p>
      <w:r>
        <w:t xml:space="preserve">Naturschutzbehörden, die zuständigen Naturschutzhelfer und sonstige von den</w:t>
      </w:r>
    </w:p>
    <w:p>
      <w:r>
        <w:t xml:space="preserve">Naturschutzbehörden beauftragte Personen sowie für Dienstkräfte und beauftragte</w:t>
      </w:r>
    </w:p>
    <w:p>
      <w:r>
        <w:t xml:space="preserve">Personen anderer zuständiger Behörden und Einrichtungen, soweit diese in</w:t>
      </w:r>
    </w:p>
    <w:p>
      <w:r>
        <w:t xml:space="preserve">Wahrnehmung ihrer gesetzlichen Aufgaben handeln.</w:t>
      </w:r>
    </w:p>
    <w:p>
      <w:r>
        <w:rPr>
          <w:color w:val="555555"/>
          <w:sz w:val="17"/>
        </w:rPr>
        <w:t xml:space="preserve">Zitiervorschlag: § 6 VO-ID212860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https://recht.nulegal.eu/gesetze/VO-ID212860/6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