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VO-ID212860 (Brandenburg) — Gebote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Bei der</w:t>
      </w:r>
    </w:p>
    <w:p>
      <w:r>
        <w:t xml:space="preserve">forstwirtschaftlichen Bewirtschaftung in Zone 2 sind mindestens fünf Stämme</w:t>
      </w:r>
    </w:p>
    <w:p>
      <w:r>
        <w:t xml:space="preserve">Altholz je Hektar mit einem Mindestdurchmesser von 30 Zentimetern in 1,30 Meter</w:t>
      </w:r>
    </w:p>
    <w:p>
      <w:r>
        <w:t xml:space="preserve">Höhe über dem Stammfuß aus der Nutzung zu nehmen und dauerhaft zu markieren. In</w:t>
      </w:r>
    </w:p>
    <w:p>
      <w:r>
        <w:t xml:space="preserve">Jungbeständen ist ein solcher Altholzanteil zu entwickeln;</w:t>
      </w:r>
    </w:p>
    <w:p>
      <w:r>
        <w:t xml:space="preserve">bei der</w:t>
      </w:r>
    </w:p>
    <w:p>
      <w:r>
        <w:t xml:space="preserve">forstwirtschaftlichen Bewirtschaftung in Zone 2 ist eine naturnahe</w:t>
      </w:r>
    </w:p>
    <w:p>
      <w:r>
        <w:t xml:space="preserve">Waldentwicklung mit einem Totholzanteil von mindestens 10 Prozent des stehenden</w:t>
      </w:r>
    </w:p>
    <w:p>
      <w:r>
        <w:t xml:space="preserve">und liegenden Bestandesvorrats zu gewährleisten. Dabei sind, sofern vorhanden,</w:t>
      </w:r>
    </w:p>
    <w:p>
      <w:r>
        <w:t xml:space="preserve">mindestens fünf Stück stehendes Totholz je Hektar mit mehr als 30 Zentimeter</w:t>
      </w:r>
    </w:p>
    <w:p>
      <w:r>
        <w:t xml:space="preserve">Durchmesser in 1,30 Meter Höhe über dem Stammfuß zu erhalten.</w:t>
      </w:r>
    </w:p>
    <w:p>
      <w:r>
        <w:rPr>
          <w:color w:val="555555"/>
          <w:sz w:val="17"/>
        </w:rPr>
        <w:t xml:space="preserve">Zitiervorschlag: § 5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