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VO-ID212860 (Brandenburg) — Verhältnis zu anderen rechtlichen Bestimmungen, Duldungspflicht</w:t>
      </w:r>
    </w:p>
    <w:p>
      <w:r>
        <w:rPr>
          <w:color w:val="555555"/>
          <w:sz w:val="18"/>
        </w:rPr>
        <w:t xml:space="preserve">Verordnung über das Landschaftsschutzgebiet „Agrarlandschaft Prignitz-Stepenitz“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</w:t>
      </w:r>
    </w:p>
    <w:p>
      <w:r>
        <w:t xml:space="preserve">Umsetzung des Schutzzwecks gemäß § 3 Nr. 5 und 7 bis 10 und der dazu</w:t>
      </w:r>
    </w:p>
    <w:p>
      <w:r>
        <w:t xml:space="preserve">erforderlichen Maßnahmen gemäß § 6 Abs. 1 Nr. 5 sowie gemäß § 7 sind die Belange</w:t>
      </w:r>
    </w:p>
    <w:p>
      <w:r>
        <w:t xml:space="preserve">der Wasserrahmenrichtlinie und des Hochwasserschutzes zu beachten. Für die</w:t>
      </w:r>
    </w:p>
    <w:p>
      <w:r>
        <w:t xml:space="preserve">Maßnahmen sind gegebenenfalls wasserrechtliche Verfahren durchzuführen.</w:t>
      </w:r>
    </w:p>
    <w:p>
      <w:r>
        <w:t xml:space="preserve">(2) Die</w:t>
      </w:r>
    </w:p>
    <w:p>
      <w:r>
        <w:t xml:space="preserve">Duldung von Maßnahmen des Naturschutzes und der Landschaftspflege, die zur</w:t>
      </w:r>
    </w:p>
    <w:p>
      <w:r>
        <w:t xml:space="preserve">Ausführung der in dieser Verordnung festgelegten Schutz-, Pflege-, Entwicklungs-</w:t>
      </w:r>
    </w:p>
    <w:p>
      <w:r>
        <w:t xml:space="preserve">und Wiederherstellungsmaßnahmen und zur Verwirklichung des Schutzzwecks</w:t>
      </w:r>
    </w:p>
    <w:p>
      <w:r>
        <w:t xml:space="preserve">erforderlich sind, richtet sich nach § 68 des Brandenburgischen</w:t>
      </w:r>
    </w:p>
    <w:p>
      <w:r>
        <w:t xml:space="preserve">Naturschutzgesetzes.</w:t>
      </w:r>
    </w:p>
    <w:p>
      <w:r>
        <w:t xml:space="preserve">(3) Soweit für</w:t>
      </w:r>
    </w:p>
    <w:p>
      <w:r>
        <w:t xml:space="preserve">den Bereich des Landschaftsschutzgebietes weiter gehende naturschutzrechtliche</w:t>
      </w:r>
    </w:p>
    <w:p>
      <w:r>
        <w:t xml:space="preserve">Vorschriften bestehen, bleiben diese unberührt. Abweichend von § 9 der</w:t>
      </w:r>
    </w:p>
    <w:p>
      <w:r>
        <w:t xml:space="preserve">Verordnung über das Naturschutzgebiet „Stepenitz“ gilt § 4 Abs. 1 Nr. 9 in</w:t>
      </w:r>
    </w:p>
    <w:p>
      <w:r>
        <w:t xml:space="preserve">Verbindung mit § 6 Abs. 1 Nr. 1 Buchstabe a und b dieser Verordnung auch im</w:t>
      </w:r>
    </w:p>
    <w:p>
      <w:r>
        <w:t xml:space="preserve">Geltungsbereich der Verordnung über das Naturschutzgebiet „Stepenitz“.</w:t>
      </w:r>
    </w:p>
    <w:p>
      <w:r>
        <w:t xml:space="preserve">(4) Soweit</w:t>
      </w:r>
    </w:p>
    <w:p>
      <w:r>
        <w:t xml:space="preserve">diese Verordnung keine weiter gehenden Vorschriften enthält, bleiben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 und §§ 37 bis 43a und 48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10 VO-ID212860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