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VO-ID212860 (Brandenburg) — Erklärung zum Schutzgebiet</w:t>
      </w:r>
    </w:p>
    <w:p>
      <w:r>
        <w:rPr>
          <w:color w:val="555555"/>
          <w:sz w:val="18"/>
        </w:rPr>
        <w:t xml:space="preserve">Verordnung über das Landschaftsschutzgebiet „Agrarlandschaft Prignitz-Stepenitz“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</w:t>
      </w:r>
    </w:p>
    <w:p>
      <w:r>
        <w:t xml:space="preserve">näher bezeichnete Fläche im Landkreis Prignitz wird als Landschaftsschutzgebiet</w:t>
      </w:r>
    </w:p>
    <w:p>
      <w:r>
        <w:t xml:space="preserve">festgesetzt. Das Landschaftsschutzgebiet trägt die Bezeichnung „Agrarlandschaft</w:t>
      </w:r>
    </w:p>
    <w:p>
      <w:r>
        <w:t xml:space="preserve">Prignitz-Stepenitz“.</w:t>
      </w:r>
    </w:p>
    <w:p>
      <w:r>
        <w:rPr>
          <w:color w:val="555555"/>
          <w:sz w:val="17"/>
        </w:rPr>
        <w:t xml:space="preserve">Zitiervorschlag: § 1 VO-ID212860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https://recht.nulegal.eu/gesetze/VO-ID212860/1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