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VO-ID212859 (Brandenburg) — Verhältnis zu anderen naturschutzrechtlichen Bestimmungen</w:t>
      </w:r>
    </w:p>
    <w:p>
      <w:r>
        <w:rPr>
          <w:color w:val="555555"/>
          <w:sz w:val="18"/>
        </w:rPr>
        <w:t xml:space="preserve">Verordnung über das Landschaftsschutzgebiet „Königswald mit Havelseen und Seeburger Agrarlandschaft“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Erlaß von Pflegeplänen zur Ausführung der in dieser</w:t>
      </w:r>
    </w:p>
    <w:p>
      <w:r>
        <w:t xml:space="preserve">Verordnung festgelegten Schutz-, Pflege- und Entwicklungsmaßnahmen und</w:t>
      </w:r>
    </w:p>
    <w:p>
      <w:r>
        <w:t xml:space="preserve">zur Verwirklichung des Schutzzweckes und die Duldung von Maßnahmen des</w:t>
      </w:r>
    </w:p>
    <w:p>
      <w:r>
        <w:t xml:space="preserve">Naturschutzes und der Landschaftspflege richten sich nach den §§ 29,</w:t>
      </w:r>
    </w:p>
    <w:p>
      <w:r>
        <w:t xml:space="preserve">68 des Brandenburgischen Naturschutzgesetzes.</w:t>
      </w:r>
    </w:p>
    <w:p>
      <w:r>
        <w:t xml:space="preserve">(2) Soweit für den Bereich des Landschaftsschutzgebietes weitergehende</w:t>
      </w:r>
    </w:p>
    <w:p>
      <w:r>
        <w:t xml:space="preserve">naturschutzrechtliche Vorschriften bestehen, bleiben diese unberührt.</w:t>
      </w:r>
    </w:p>
    <w:p>
      <w:r>
        <w:t xml:space="preserve">Insbesondere gelten fort:</w:t>
      </w:r>
    </w:p>
    <w:p>
      <w:r>
        <w:t xml:space="preserve">Verordnung über das Naturschutzgebiet "Sacrower See und</w:t>
      </w:r>
    </w:p>
    <w:p>
      <w:r>
        <w:t xml:space="preserve">Königswald" des Regierungspräsidenten der Preußischen</w:t>
      </w:r>
    </w:p>
    <w:p>
      <w:r>
        <w:t xml:space="preserve">Regierung in Potsdam vom 11. März 1941 (Amtsblatt der Preußischen</w:t>
      </w:r>
    </w:p>
    <w:p>
      <w:r>
        <w:t xml:space="preserve">Regierung in Potsdam, Stück 12, vom 22. März 1941), geändert</w:t>
      </w:r>
    </w:p>
    <w:p>
      <w:r>
        <w:t xml:space="preserve">durch die Anordnung Nr. 2 über Naturschutzgebiete des Vorsitzenden des</w:t>
      </w:r>
    </w:p>
    <w:p>
      <w:r>
        <w:t xml:space="preserve">Landwirtschaftsrates beim Ministerrat der Deutschen Demokratischen Republik vom</w:t>
      </w:r>
    </w:p>
    <w:p>
      <w:r>
        <w:t xml:space="preserve">30. April 1963 (Gesetzblatt Teil II Nr. 47 - Ausgabetag: 31. Mai 1963);</w:t>
      </w:r>
    </w:p>
    <w:p>
      <w:r>
        <w:t xml:space="preserve">Verordnung über das Naturschutzgebiet "Ferbitzer Bruch" des</w:t>
      </w:r>
    </w:p>
    <w:p>
      <w:r>
        <w:t xml:space="preserve">Ministers für Umwelt, Naturschutz und Raumordnung vom 16. April 1996</w:t>
      </w:r>
    </w:p>
    <w:p>
      <w:r>
        <w:t xml:space="preserve">(GVBl. II S. 722);</w:t>
      </w:r>
    </w:p>
    <w:p>
      <w:r>
        <w:t xml:space="preserve">Verordnung über das Naturschutzgebiet "Döberitzer</w:t>
      </w:r>
    </w:p>
    <w:p>
      <w:r>
        <w:t xml:space="preserve">Heide" des Ministers für Umwelt, Naturschutz und Raumordnung vom</w:t>
      </w:r>
    </w:p>
    <w:p>
      <w:r>
        <w:t xml:space="preserve">24. November 1997 (GVBl. II S. 882).</w:t>
      </w:r>
    </w:p>
    <w:p>
      <w:r>
        <w:t xml:space="preserve">(3) Soweit diese Verordnung keine weitergehenden Vorschriften enthält,</w:t>
      </w:r>
    </w:p>
    <w:p>
      <w:r>
        <w:t xml:space="preserve">bleiben die Regelungen über gesetzlich geschützte Teile von Natur und</w:t>
      </w:r>
    </w:p>
    <w:p>
      <w:r>
        <w:t xml:space="preserve">Landschaft (§§ 31 bis 36 des Brandenburgischen Naturschutzgesetzes)</w:t>
      </w:r>
    </w:p>
    <w:p>
      <w:r>
        <w:t xml:space="preserve">und über den Schutz und die Pflege wildlebender Tier- und Pflanzenarten</w:t>
      </w:r>
    </w:p>
    <w:p>
      <w:r>
        <w:t xml:space="preserve">(§§ 20 bis 26 b des Bundesnaturschutzgesetzes, §§ 37 bis 43</w:t>
      </w:r>
    </w:p>
    <w:p>
      <w:r>
        <w:t xml:space="preserve">des Brandenburgischen Naturschutzgesetzes) unberührt.</w:t>
      </w:r>
    </w:p>
    <w:p>
      <w:r>
        <w:rPr>
          <w:color w:val="555555"/>
          <w:sz w:val="17"/>
        </w:rPr>
        <w:t xml:space="preserve">Zitiervorschlag: § 9 VO-ID212859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https://recht.nulegal.eu/gesetze/VO-ID212859/9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