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VO-ID212859 (Brandenburg) — Pflege- und Entwicklungsmaßnahmen</w:t>
      </w:r>
    </w:p>
    <w:p>
      <w:r>
        <w:rPr>
          <w:color w:val="555555"/>
          <w:sz w:val="18"/>
        </w:rPr>
        <w:t xml:space="preserve">Verordnung über das Landschaftsschutzgebiet „Königswald mit Havelseen und Seeburger Agrarlandschaft“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Es werden folgende Pflege- und Entwicklungsmaßnahmen als Zielvorgabe</w:t>
      </w:r>
    </w:p>
    <w:p>
      <w:r>
        <w:t xml:space="preserve">festgelegt:</w:t>
      </w:r>
    </w:p>
    <w:p>
      <w:r>
        <w:t xml:space="preserve">zum Erhalt und zur Entwicklung von Mooren und Feuchtgrünland soll der</w:t>
      </w:r>
    </w:p>
    <w:p>
      <w:r>
        <w:t xml:space="preserve">Grundwasserstand gesichert und nach Möglichkeit angehoben werden;</w:t>
      </w:r>
    </w:p>
    <w:p>
      <w:r>
        <w:t xml:space="preserve">die landwirtschaftliche Nutzung ist auf naturverträgliche, nachhaltige</w:t>
      </w:r>
    </w:p>
    <w:p>
      <w:r>
        <w:t xml:space="preserve">Wirtschaftsformen auszurichten;</w:t>
      </w:r>
    </w:p>
    <w:p>
      <w:r>
        <w:t xml:space="preserve">naturnahe Wälder sind durch entsprechende Waldbaumaßnahmen zu</w:t>
      </w:r>
    </w:p>
    <w:p>
      <w:r>
        <w:t xml:space="preserve">erhalten; für die künstliche Verjüngung sind hauptsächlich</w:t>
      </w:r>
    </w:p>
    <w:p>
      <w:r>
        <w:t xml:space="preserve">heimische, standortgemäße Holzarten zu verwenden. Es ist</w:t>
      </w:r>
    </w:p>
    <w:p>
      <w:r>
        <w:t xml:space="preserve">möglichst kahlschlagslos zu wirtschaften;</w:t>
      </w:r>
    </w:p>
    <w:p>
      <w:r>
        <w:t xml:space="preserve">die naturverträgliche Erholungsnutzung ist so zu gestalten, dass</w:t>
      </w:r>
    </w:p>
    <w:p>
      <w:r>
        <w:t xml:space="preserve">seltene oder gefährdete Arten und ihre Lebensräume</w:t>
      </w:r>
    </w:p>
    <w:p>
      <w:r>
        <w:t xml:space="preserve">unbeeinträchtigt bleiben;</w:t>
      </w:r>
    </w:p>
    <w:p>
      <w:r>
        <w:t xml:space="preserve">es wird geprüft, in welchem Umfang die Rieselfelder der</w:t>
      </w:r>
    </w:p>
    <w:p>
      <w:r>
        <w:t xml:space="preserve">Karolinenhöhe zwecks Grundwasserneubildung und der Schaffung eines</w:t>
      </w:r>
    </w:p>
    <w:p>
      <w:r>
        <w:t xml:space="preserve">Biotopverbundes gepflegt werden sollen;</w:t>
      </w:r>
    </w:p>
    <w:p>
      <w:r>
        <w:t xml:space="preserve">Feuchtwiesen sollen in ihrer Artenvielfalt durch angepaßte,</w:t>
      </w:r>
    </w:p>
    <w:p>
      <w:r>
        <w:t xml:space="preserve">regelmäßige Pflege, insbesondere eine entsprechende Mahd,</w:t>
      </w:r>
    </w:p>
    <w:p>
      <w:r>
        <w:t xml:space="preserve">Weideführung oder Entbuschung entwickelt werden;</w:t>
      </w:r>
    </w:p>
    <w:p>
      <w:r>
        <w:t xml:space="preserve">Trockenrasen sollen durch periodische Pflegemaßnahmen erhalten</w:t>
      </w:r>
    </w:p>
    <w:p>
      <w:r>
        <w:t xml:space="preserve">werden;</w:t>
      </w:r>
    </w:p>
    <w:p>
      <w:r>
        <w:t xml:space="preserve">Freileitungen sollen aus landschaftsästhetischen Gründen und aus</w:t>
      </w:r>
    </w:p>
    <w:p>
      <w:r>
        <w:t xml:space="preserve">Gründen des Vogelschutzes gesichert und nach Möglichkeit durch</w:t>
      </w:r>
    </w:p>
    <w:p>
      <w:r>
        <w:t xml:space="preserve">Erdverlegung ersetzt werden;</w:t>
      </w:r>
    </w:p>
    <w:p>
      <w:r>
        <w:t xml:space="preserve">Hecken, Obstreihen, Streuobstflächen, Alleen, Kopfweiden,</w:t>
      </w:r>
    </w:p>
    <w:p>
      <w:r>
        <w:t xml:space="preserve">Feldgehölze, Einzelbäume, Lesesteinhaufen und andere Strukturelemente</w:t>
      </w:r>
    </w:p>
    <w:p>
      <w:r>
        <w:t xml:space="preserve">der Landschaft sollen zur Förderung eines Biotopverbundsystems wo</w:t>
      </w:r>
    </w:p>
    <w:p>
      <w:r>
        <w:t xml:space="preserve">nötig gepflegt oder neu angelegt werden.</w:t>
      </w:r>
    </w:p>
    <w:p>
      <w:r>
        <w:rPr>
          <w:color w:val="555555"/>
          <w:sz w:val="17"/>
        </w:rPr>
        <w:t xml:space="preserve">Zitiervorschlag: § 6 VO-ID212859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https://recht.nulegal.eu/gesetze/VO-ID212859/6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