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VO-ID212859 (Brandenburg) — Schutzzweck</w:t>
      </w:r>
    </w:p>
    <w:p>
      <w:r>
        <w:rPr>
          <w:color w:val="555555"/>
          <w:sz w:val="18"/>
        </w:rPr>
        <w:t xml:space="preserve">Verordnung über das Landschaftsschutzgebiet „Königswald mit Havelseen und Seeburger Agrarlandschaft“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</w:t>
      </w:r>
    </w:p>
    <w:p>
      <w:r>
        <w:t xml:space="preserve">die Erhaltung und Wiederherstellung der Leistungsfähigkeit des</w:t>
      </w:r>
    </w:p>
    <w:p>
      <w:r>
        <w:t xml:space="preserve">Naturhaushaltes, insbesondere</w:t>
      </w:r>
    </w:p>
    <w:p>
      <w:r>
        <w:t xml:space="preserve">der Qualität der Gewässer und Uferbereiche sowie ihrer</w:t>
      </w:r>
    </w:p>
    <w:p>
      <w:r>
        <w:t xml:space="preserve">Lebensgemeinschaften, insbesondere die Eignung des Fahrländer Sees als</w:t>
      </w:r>
    </w:p>
    <w:p>
      <w:r>
        <w:t xml:space="preserve">Brut- und Winterraststätte für zahlreiche Wasservogelarten,</w:t>
      </w:r>
    </w:p>
    <w:p>
      <w:r>
        <w:t xml:space="preserve">der naturnahen Mischwälder,</w:t>
      </w:r>
    </w:p>
    <w:p>
      <w:r>
        <w:t xml:space="preserve">der Trockenrasen, Feuchtgebiete, Extensiväcker und</w:t>
      </w:r>
    </w:p>
    <w:p>
      <w:r>
        <w:t xml:space="preserve">Ruderalflächen,</w:t>
      </w:r>
    </w:p>
    <w:p>
      <w:r>
        <w:t xml:space="preserve">des Lebensraumes zahlreicher gefährdeter Pflanzen- und</w:t>
      </w:r>
    </w:p>
    <w:p>
      <w:r>
        <w:t xml:space="preserve">Tiergemeinschaften;</w:t>
      </w:r>
    </w:p>
    <w:p>
      <w:r>
        <w:t xml:space="preserve">die Bewahrung der Vielfalt, Eigenart und Schönheit des</w:t>
      </w:r>
    </w:p>
    <w:p>
      <w:r>
        <w:t xml:space="preserve">Landschaftsbildes, insbesondere</w:t>
      </w:r>
    </w:p>
    <w:p>
      <w:r>
        <w:t xml:space="preserve">einer reich strukturierten Grund- und Endmoränenlandschaft,</w:t>
      </w:r>
    </w:p>
    <w:p>
      <w:r>
        <w:t xml:space="preserve">einer reich gegliederten Agrarlandschaft, unterbrochen von</w:t>
      </w:r>
    </w:p>
    <w:p>
      <w:r>
        <w:t xml:space="preserve">kleinflächigen Waldgebieten, Flurgehölzen, Mooren und Feuchtgebieten</w:t>
      </w:r>
    </w:p>
    <w:p>
      <w:r>
        <w:t xml:space="preserve">sowie vom Rieselfeldkomplex Gatow-Karolinenhöhe,</w:t>
      </w:r>
    </w:p>
    <w:p>
      <w:r>
        <w:t xml:space="preserve">der ausgedehnten Waldflächen und einer Seenlandschaft, bestehend aus</w:t>
      </w:r>
    </w:p>
    <w:p>
      <w:r>
        <w:t xml:space="preserve">den Havelseen, dem Sacrower See und dem Fahrländer See,</w:t>
      </w:r>
    </w:p>
    <w:p>
      <w:r>
        <w:t xml:space="preserve">eines großflächigen Feuchtwiesenkomplexes der</w:t>
      </w:r>
    </w:p>
    <w:p>
      <w:r>
        <w:t xml:space="preserve">havelländischen Luchlandschaft;</w:t>
      </w:r>
    </w:p>
    <w:p>
      <w:r>
        <w:t xml:space="preserve">die Erhaltung des Gebietes wegen seiner besonderen Bedeutung für die</w:t>
      </w:r>
    </w:p>
    <w:p>
      <w:r>
        <w:t xml:space="preserve">naturnahe Erholung im Einzugsbereich des Großraums Berlin - Potsdam,</w:t>
      </w:r>
    </w:p>
    <w:p>
      <w:r>
        <w:t xml:space="preserve">insbesondere für eine der Landschaft und Naturausstattung angepaßte</w:t>
      </w:r>
    </w:p>
    <w:p>
      <w:r>
        <w:t xml:space="preserve">Entwicklung der Erholungsnutzung, vor allem der Waldgebiete und Gewässer;</w:t>
      </w:r>
    </w:p>
    <w:p>
      <w:r>
        <w:t xml:space="preserve">die Erhaltung und Verbesserung der ökologischen Ausgleichsfunktionen</w:t>
      </w:r>
    </w:p>
    <w:p>
      <w:r>
        <w:t xml:space="preserve">für den städtischen Ballungsraum Berlin - Potsdam.</w:t>
      </w:r>
    </w:p>
    <w:p>
      <w:r>
        <w:rPr>
          <w:color w:val="555555"/>
          <w:sz w:val="17"/>
        </w:rPr>
        <w:t xml:space="preserve">Zitiervorschlag: § 3 VO-ID212859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https://recht.nulegal.eu/gesetze/VO-ID212859/3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