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VO-ID212859 (Brandenburg) — Inkrafttreten</w:t>
      </w:r>
    </w:p>
    <w:p>
      <w:r>
        <w:rPr>
          <w:color w:val="555555"/>
          <w:sz w:val="18"/>
        </w:rPr>
        <w:t xml:space="preserve">Verordnung über das Landschaftsschutzgebiet „Königswald mit Havelseen und Seeburger Agrarlandschaft“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30. November 1998</w:t>
      </w:r>
    </w:p>
    <w:p>
      <w:r>
        <w:t xml:space="preserve">Der Minister für Umwelt, Naturschutz und</w:t>
      </w:r>
    </w:p>
    <w:p>
      <w:r>
        <w:t xml:space="preserve">Raumordnung</w:t>
      </w:r>
    </w:p>
    <w:p>
      <w:r>
        <w:t xml:space="preserve">Dr. Eberhard Henne</w:t>
      </w:r>
    </w:p>
    <w:p>
      <w:r>
        <w:rPr>
          <w:color w:val="555555"/>
          <w:sz w:val="17"/>
        </w:rPr>
        <w:t xml:space="preserve">Zitiervorschlag: § 11 VO-ID212859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https://recht.nulegal.eu/gesetze/VO-ID212859/11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