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VO-ID212858 (Brandenburg) — Zulässige Handlungen</w:t>
      </w:r>
    </w:p>
    <w:p>
      <w:r>
        <w:rPr>
          <w:color w:val="555555"/>
          <w:sz w:val="18"/>
        </w:rPr>
        <w:t xml:space="preserve">Verordnung über das Landschaftsschutzgebiet „Hoher Fläming - Belziger Landschaftswiesen“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Entgegen § 4 dieser Verordnung bleiben zulässig:</w:t>
      </w:r>
    </w:p>
    <w:p>
      <w:r>
        <w:t xml:space="preserve">die im Sinne des § 11 Abs. 2 des Brandenburgischen Naturschutzgesetzes</w:t>
      </w:r>
    </w:p>
    <w:p>
      <w:r>
        <w:t xml:space="preserve">ordnungsgemäße landwirtschaftliche Bodennutzung auf den</w:t>
      </w:r>
    </w:p>
    <w:p>
      <w:r>
        <w:t xml:space="preserve">rechtmäßig dafür genutzten Flächen mit der Maßgabe,</w:t>
      </w:r>
    </w:p>
    <w:p>
      <w:r>
        <w:t xml:space="preserve">daß</w:t>
      </w:r>
    </w:p>
    <w:p>
      <w:r>
        <w:t xml:space="preserve">§ 4 Abs. 1 Nr. 2 und 3 und § 4 Abs. 2 Nr. 7 und 8 gelten;</w:t>
      </w:r>
    </w:p>
    <w:p>
      <w:r>
        <w:t xml:space="preserve">§ 4 Abs. 1 Nr. 1 gilt, wobei eine Bewirtschaftung von Niedermooren</w:t>
      </w:r>
    </w:p>
    <w:p>
      <w:r>
        <w:t xml:space="preserve">entsprechend den Moortypen (Norm-, Mulm-, Erdniedermoore) ausgenommen ist.</w:t>
      </w:r>
    </w:p>
    <w:p>
      <w:r>
        <w:t xml:space="preserve">Dabei ist eine weitere Degradierung des Moorkörpers weitestgehend</w:t>
      </w:r>
    </w:p>
    <w:p>
      <w:r>
        <w:t xml:space="preserve">auszuschließen;</w:t>
      </w:r>
    </w:p>
    <w:p>
      <w:r>
        <w:t xml:space="preserve">die im Sinn des § 11 Abs. 3 des Brandenburgischen Naturschutzgesetzes</w:t>
      </w:r>
    </w:p>
    <w:p>
      <w:r>
        <w:t xml:space="preserve">ordnungsgemäße forstwirtschaftliche Bodennutzung auf den</w:t>
      </w:r>
    </w:p>
    <w:p>
      <w:r>
        <w:t xml:space="preserve">rechtmäßig dafür genutzten Flächen mit der Maßgabe,</w:t>
      </w:r>
    </w:p>
    <w:p>
      <w:r>
        <w:t xml:space="preserve">daß § 4 Abs. 1 Nr. 2 gilt;</w:t>
      </w:r>
    </w:p>
    <w:p>
      <w:r>
        <w:t xml:space="preserve">die im Sinne des § 11 Abs. 4 des Brandenburgischen Naturschutzgesetzes</w:t>
      </w:r>
    </w:p>
    <w:p>
      <w:r>
        <w:t xml:space="preserve">in Verbindung mit § 1 Abs. 1 und 2 des Fischereigesetzes für das Land</w:t>
      </w:r>
    </w:p>
    <w:p>
      <w:r>
        <w:t xml:space="preserve">Brandenburg ordnungsgemäße fischereiwirtschaftliche</w:t>
      </w:r>
    </w:p>
    <w:p>
      <w:r>
        <w:t xml:space="preserve">Flächennutzung sowie die Angelfischerei auf den rechtmäßig</w:t>
      </w:r>
    </w:p>
    <w:p>
      <w:r>
        <w:t xml:space="preserve">dafür genutzten Flächen mit der Maßgabe, daß</w:t>
      </w:r>
    </w:p>
    <w:p>
      <w:r>
        <w:t xml:space="preserve">Fanggeräte und Fangmittel so einzusetzen oder auszustatten sind, daß</w:t>
      </w:r>
    </w:p>
    <w:p>
      <w:r>
        <w:t xml:space="preserve">ein Einschwimmen und eine Gefährdung des Fischotters weitgehend</w:t>
      </w:r>
    </w:p>
    <w:p>
      <w:r>
        <w:t xml:space="preserve">ausgeschlossen ist;</w:t>
      </w:r>
    </w:p>
    <w:p>
      <w:r>
        <w:t xml:space="preserve">für den Bereich der Jagd:</w:t>
      </w:r>
    </w:p>
    <w:p>
      <w:r>
        <w:t xml:space="preserve">die rechtmäßige Ausübung der Jagd,</w:t>
      </w:r>
    </w:p>
    <w:p>
      <w:r>
        <w:t xml:space="preserve">die Errichtung von Ansitzleitern und Kanzeln soweit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einfügen;</w:t>
      </w:r>
    </w:p>
    <w:p>
      <w:r>
        <w:t xml:space="preserve">die ordnungsgemäße Unterhaltung der Gewässer im Benehmen</w:t>
      </w:r>
    </w:p>
    <w:p>
      <w:r>
        <w:t xml:space="preserve">mit der unteren Naturschutzbehörde und mit der Maßgabe, daß</w:t>
      </w:r>
    </w:p>
    <w:p>
      <w:r>
        <w:t xml:space="preserve">Maßnahmen zeitlich und räumlich derart vorzunehmen sind,</w:t>
      </w:r>
    </w:p>
    <w:p>
      <w:r>
        <w:t xml:space="preserve">daß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werden. Der Herstellung</w:t>
      </w:r>
    </w:p>
    <w:p>
      <w:r>
        <w:t xml:space="preserve">des Benehmens bedarf es nicht, soweit es sich um unaufschiebbare</w:t>
      </w:r>
    </w:p>
    <w:p>
      <w:r>
        <w:t xml:space="preserve">Maßnahmen handelt;</w:t>
      </w:r>
    </w:p>
    <w:p>
      <w:r>
        <w:t xml:space="preserve">die ordnungsgemäße Unterhaltung der rechtmäßig</w:t>
      </w:r>
    </w:p>
    <w:p>
      <w:r>
        <w:t xml:space="preserve">bestehenden Anlagen einschließlich der dem öffentlichen Verkehr</w:t>
      </w:r>
    </w:p>
    <w:p>
      <w:r>
        <w:t xml:space="preserve">gewidmeten Straßen und Wege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Schutz-, Pflege- und Entwicklungsmaßnahmen, die von der unteren</w:t>
      </w:r>
    </w:p>
    <w:p>
      <w:r>
        <w:t xml:space="preserve">Naturschutzbehörde angeordnet worden sind;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behördlich angeordnete oder zugelassene Beschilderungen;</w:t>
      </w:r>
    </w:p>
    <w:p>
      <w:r>
        <w:t xml:space="preserve">Handlungen nach § 4 Abs. 1 Nr. 3 und Abs. 2 Nr. 8 in</w:t>
      </w:r>
    </w:p>
    <w:p>
      <w:r>
        <w:t xml:space="preserve">rechtmäßig bestehenden Baumschulen, Gärten, Friedhöfen,</w:t>
      </w:r>
    </w:p>
    <w:p>
      <w:r>
        <w:t xml:space="preserve">Park- und Gartenanlagen;</w:t>
      </w:r>
    </w:p>
    <w:p>
      <w:r>
        <w:t xml:space="preserve">im Benehmen mit der unteren Naturschutzbehörde wasserrechtlich</w:t>
      </w:r>
    </w:p>
    <w:p>
      <w:r>
        <w:t xml:space="preserve">zugelassene Gewässerbenutzungen;</w:t>
      </w:r>
    </w:p>
    <w:p>
      <w:r>
        <w:t xml:space="preserve">die Nachrüstung bestehender landwirtschaftlicher Anlagen, soweit sie</w:t>
      </w:r>
    </w:p>
    <w:p>
      <w:r>
        <w:t xml:space="preserve">nach dem Bundesimmissionschutzgesetz bis zum 30. Juni 1999 erforderlich ist.</w:t>
      </w:r>
    </w:p>
    <w:p>
      <w:r>
        <w:rPr>
          <w:color w:val="555555"/>
          <w:sz w:val="17"/>
        </w:rPr>
        <w:t xml:space="preserve">Zitiervorschlag: § 5 VO-ID212858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VO-ID212858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