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VO-ID212858 (Brandenburg) — Schutzgegenstand</w:t>
      </w:r>
    </w:p>
    <w:p>
      <w:r>
        <w:rPr>
          <w:color w:val="555555"/>
          <w:sz w:val="18"/>
        </w:rPr>
        <w:t xml:space="preserve">Verordnung über das Landschaftsschutzgebiet „Hoher Fläming - Belziger Landschaftswiesen“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Landschaftsschutzgebiet hat eine Größe von</w:t>
      </w:r>
    </w:p>
    <w:p>
      <w:r>
        <w:t xml:space="preserve">rund 75.441 Hektar. Es umfaßt die Hügellandschaft des Hohen</w:t>
      </w:r>
    </w:p>
    <w:p>
      <w:r>
        <w:t xml:space="preserve">Fläming und die im Naturraum des Baruther Urstromtales gelegenen Belziger</w:t>
      </w:r>
    </w:p>
    <w:p>
      <w:r>
        <w:t xml:space="preserve">Landschaftswiesen.</w:t>
      </w:r>
    </w:p>
    <w:p>
      <w:r>
        <w:t xml:space="preserve">(2) Das Landschaftsschutzgebiet umfaßt Flächen der</w:t>
      </w:r>
    </w:p>
    <w:p>
      <w:r>
        <w:t xml:space="preserve">folgenden Gemeinden: Baitz, Belzig, Benken, Bergholz, Borne, Brück,</w:t>
      </w:r>
    </w:p>
    <w:p>
      <w:r>
        <w:t xml:space="preserve">Buchholz, Buckau, Cammer, Dahnsdorf, Damelang, Dippmannsdorf, Dretzen, Egelinde</w:t>
      </w:r>
    </w:p>
    <w:p>
      <w:r>
        <w:t xml:space="preserve">zu Werbig, Fredersdorf, Freienthal zu Damelang, Garrey, Gömnigk zu</w:t>
      </w:r>
    </w:p>
    <w:p>
      <w:r>
        <w:t xml:space="preserve">Brück, Görzke, Gräben, Grebs zu Glienecke, Groß Briesen,</w:t>
      </w:r>
    </w:p>
    <w:p>
      <w:r>
        <w:t xml:space="preserve">Groß Marzehns, Grubo, Hagelberg, Hohenlobbese, Hohenspringe zu Werbig,</w:t>
      </w:r>
    </w:p>
    <w:p>
      <w:r>
        <w:t xml:space="preserve">Hohenwerbig zu Niemegk, Jeserig, Jeserigerhütten, Klein Briesen zu</w:t>
      </w:r>
    </w:p>
    <w:p>
      <w:r>
        <w:t xml:space="preserve">Groß Briesen, Klein Glien zu Hagelberg, Klein Marzehns, Klepzig,</w:t>
      </w:r>
    </w:p>
    <w:p>
      <w:r>
        <w:t xml:space="preserve">Kranepuhl, Kuhlowitz und Belzig Gewerbe, Lehnsdorf, Locktow, Lübnitz,</w:t>
      </w:r>
    </w:p>
    <w:p>
      <w:r>
        <w:t xml:space="preserve">Lühnsdorf, Lüsse, Lütte, Medewitz, Medewitzerhütten zu</w:t>
      </w:r>
    </w:p>
    <w:p>
      <w:r>
        <w:t xml:space="preserve">Medewitz, Mörz, Mützdorf, Neschholz, Neuehütten, Neuendorf bei</w:t>
      </w:r>
    </w:p>
    <w:p>
      <w:r>
        <w:t xml:space="preserve">Niemegk zu Rädigke, Niemegk, Preußnitz zu Kuhlowitz, Raben,</w:t>
      </w:r>
    </w:p>
    <w:p>
      <w:r>
        <w:t xml:space="preserve">Ragösen, Rädigke, Reetz, Reetzerhütten und Wiesenburg Bahnhof,</w:t>
      </w:r>
    </w:p>
    <w:p>
      <w:r>
        <w:t xml:space="preserve">Reppinichen, Rottstock, Schlamau, Schmerwitz zu Schlamau, Schwanebeck,</w:t>
      </w:r>
    </w:p>
    <w:p>
      <w:r>
        <w:t xml:space="preserve">Steinberg, Trebitz zu Brück, Verlorenwasser zu Werbig, Werbig, Wiesenburg,</w:t>
      </w:r>
    </w:p>
    <w:p>
      <w:r>
        <w:t xml:space="preserve">Wiesenburg Bahnh of, Wollin, Wutzow zu Hohenlobbese, Ziezow zu Locktow, Zixdorf</w:t>
      </w:r>
    </w:p>
    <w:p>
      <w:r>
        <w:t xml:space="preserve">zu Garrey.</w:t>
      </w:r>
    </w:p>
    <w:p>
      <w:r>
        <w:t xml:space="preserve">Eine Kartenskizze zur Orientierung über die Lage des</w:t>
      </w:r>
    </w:p>
    <w:p>
      <w:r>
        <w:t xml:space="preserve">Landschaftsschutzgebietes ist dieser Verordnung als Anlage 1 beigefügt.</w:t>
      </w:r>
    </w:p>
    <w:p>
      <w:r>
        <w:t xml:space="preserve">(3) Die Grenze des Landschaftsschutzgebietes sowie die</w:t>
      </w:r>
    </w:p>
    <w:p>
      <w:r>
        <w:t xml:space="preserve">Ausgrenzung der nicht im Landschaftsschutzgebiet liegenden Ortsbereiche der</w:t>
      </w:r>
    </w:p>
    <w:p>
      <w:r>
        <w:t xml:space="preserve">Städte und Gemeinden ist in den in Anlage 2 dieser Verordnung</w:t>
      </w:r>
    </w:p>
    <w:p>
      <w:r>
        <w:t xml:space="preserve">aufgeführten topografischen Karten, Flurkarten, digitalisierten Karten und</w:t>
      </w:r>
    </w:p>
    <w:p>
      <w:r>
        <w:t xml:space="preserve">Liegenschaftskarten mit ununterbrochener oder gestrichelter roter Linie</w:t>
      </w:r>
    </w:p>
    <w:p>
      <w:r>
        <w:t xml:space="preserve">eingezeichnet; als Grenze gilt der innere Rand dieser Linie. Die in Anlage 2</w:t>
      </w:r>
    </w:p>
    <w:p>
      <w:r>
        <w:t xml:space="preserve">Nr. 1 dieser Verordnung aufgeführte topografische Karte im Maßstab 1</w:t>
      </w:r>
    </w:p>
    <w:p>
      <w:r>
        <w:t xml:space="preserve">: 100 000 dient der räumlichen Einordnung des Landschaftsschutzgebietes.</w:t>
      </w:r>
    </w:p>
    <w:p>
      <w:r>
        <w:t xml:space="preserve">Die Verortung im Gelände ermöglichen die in Anlage 2 Nr. 2</w:t>
      </w:r>
    </w:p>
    <w:p>
      <w:r>
        <w:t xml:space="preserve">aufgeführten 18 topografischen Karten im Maßstab 1 : 25 000.</w:t>
      </w:r>
    </w:p>
    <w:p>
      <w:r>
        <w:t xml:space="preserve">Maßgeblich für den Grenzverlauf ist die Einzeichnung in den in</w:t>
      </w:r>
    </w:p>
    <w:p>
      <w:r>
        <w:t xml:space="preserve">Anlage 2 Nr. 3 aufgeführten 95 Flurkarten, in den in Anlage 2 Nr. 4</w:t>
      </w:r>
    </w:p>
    <w:p>
      <w:r>
        <w:t xml:space="preserve">aufgeführten 74 digitalisierten Karten und in den in Anlage 2 Nr. 5</w:t>
      </w:r>
    </w:p>
    <w:p>
      <w:r>
        <w:t xml:space="preserve">aufgeführten zwei Liegenschaftskarten.</w:t>
      </w:r>
    </w:p>
    <w:p>
      <w:r>
        <w:t xml:space="preserve">(4) Die Karten können beim Ministerium für Umwelt,</w:t>
      </w:r>
    </w:p>
    <w:p>
      <w:r>
        <w:t xml:space="preserve">Naturschutz und Raumordnung des Landes Brandenburg, oberste</w:t>
      </w:r>
    </w:p>
    <w:p>
      <w:r>
        <w:t xml:space="preserve">Naturschutzbehörde, in Potsdam sowie beim Landkreis Potsdam-Mittelmark,</w:t>
      </w:r>
    </w:p>
    <w:p>
      <w:r>
        <w:t xml:space="preserve">untere Naturschutzbehörde, von jedermann während der Dienstzeiten</w:t>
      </w:r>
    </w:p>
    <w:p>
      <w:r>
        <w:t xml:space="preserve">kostenlos eingesehen werden.</w:t>
      </w:r>
    </w:p>
    <w:p>
      <w:r>
        <w:rPr>
          <w:color w:val="555555"/>
          <w:sz w:val="17"/>
        </w:rPr>
        <w:t xml:space="preserve">Zitiervorschlag: § 2 VO-ID212858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https://recht.nulegal.eu/gesetze/VO-ID212858/2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