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VO-ID212857 (Brandenburg) — Schutzzweck</w:t>
      </w:r>
    </w:p>
    <w:p>
      <w:r>
        <w:rPr>
          <w:color w:val="555555"/>
          <w:sz w:val="18"/>
        </w:rPr>
        <w:t xml:space="preserve">Verordnung über das Landschaftsschutzgebiet „Nuthetal-Beelitzer Sander“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Erhaltung, Wiederherstellung und Entwicklung der</w:t>
      </w:r>
    </w:p>
    <w:p>
      <w:r>
        <w:t xml:space="preserve">Leistungsfähigkeit des Naturhaushaltes, insbesondere</w:t>
      </w:r>
    </w:p>
    <w:p>
      <w:r>
        <w:t xml:space="preserve">der naturnahen Waldgesellschaften, vor allem der Erlenbruchwälder,</w:t>
      </w:r>
    </w:p>
    <w:p>
      <w:r>
        <w:t xml:space="preserve">grundwassernahen Niederungswälder und eichengeprägten</w:t>
      </w:r>
    </w:p>
    <w:p>
      <w:r>
        <w:t xml:space="preserve">Laubmischwälder,</w:t>
      </w:r>
    </w:p>
    <w:p>
      <w:r>
        <w:t xml:space="preserve">der Funktionsfähigkeit des Wasserhaushaltes und der</w:t>
      </w:r>
    </w:p>
    <w:p>
      <w:r>
        <w:t xml:space="preserve">Gewässerqualität der Seen und Flüsse,</w:t>
      </w:r>
    </w:p>
    <w:p>
      <w:r>
        <w:t xml:space="preserve">der Funktionsfähigkeit der Moore als Wasser- und</w:t>
      </w:r>
    </w:p>
    <w:p>
      <w:r>
        <w:t xml:space="preserve">Nährstoffspeicher sowie Nährstoffsenken,</w:t>
      </w:r>
    </w:p>
    <w:p>
      <w:r>
        <w:t xml:space="preserve">der Seen mit ihren Schwimmblattzonen, Schilfgürteln, den Verlandungs-</w:t>
      </w:r>
    </w:p>
    <w:p>
      <w:r>
        <w:t xml:space="preserve">und Röhrichtzonen sowie Erlenbrüchen,</w:t>
      </w:r>
    </w:p>
    <w:p>
      <w:r>
        <w:t xml:space="preserve">des Regionalklimas und der Frischluftbildung in den Großräumen</w:t>
      </w:r>
    </w:p>
    <w:p>
      <w:r>
        <w:t xml:space="preserve">Potsdam und Berlin durch den Erhalt der Grünlandstandorte, insbesondere</w:t>
      </w:r>
    </w:p>
    <w:p>
      <w:r>
        <w:t xml:space="preserve">über Niedermooren und in den Flußniederungen,</w:t>
      </w:r>
    </w:p>
    <w:p>
      <w:r>
        <w:t xml:space="preserve">der Funktionsfähigkeit der Böden durch Sicherung und</w:t>
      </w:r>
    </w:p>
    <w:p>
      <w:r>
        <w:t xml:space="preserve">Förderung der natürlichen Vielfalt der Bodeneigenschaften sowie den</w:t>
      </w:r>
    </w:p>
    <w:p>
      <w:r>
        <w:t xml:space="preserve">Schutz des Bodens vor Überbauung, Verdichtung, Abbau und Erosion,</w:t>
      </w:r>
    </w:p>
    <w:p>
      <w:r>
        <w:t xml:space="preserve">der kulturabhängigen Biotope und Landschaftselemente wie Frischwiesen,</w:t>
      </w:r>
    </w:p>
    <w:p>
      <w:r>
        <w:t xml:space="preserve">Feuchtwiesen und -weiden, Hecken, Feldgehölze, Solitärbäume,</w:t>
      </w:r>
    </w:p>
    <w:p>
      <w:r>
        <w:t xml:space="preserve">Lesesteinhaufen, Kopfweiden, Obstanlagen und Alleen in ihrer vielfältigen</w:t>
      </w:r>
    </w:p>
    <w:p>
      <w:r>
        <w:t xml:space="preserve">Ausbildung sowie der Vernetzung dieser Biotope untereinander,</w:t>
      </w:r>
    </w:p>
    <w:p>
      <w:r>
        <w:t xml:space="preserve">der Funktion der Niedermoore als wichtige Speicher für Kohlenstoff,</w:t>
      </w:r>
    </w:p>
    <w:p>
      <w:r>
        <w:t xml:space="preserve">Stickstoff und Wasser,</w:t>
      </w:r>
    </w:p>
    <w:p>
      <w:r>
        <w:t xml:space="preserve">der grünlandgeprägten Flußniederungen von Nuthe und</w:t>
      </w:r>
    </w:p>
    <w:p>
      <w:r>
        <w:t xml:space="preserve">Nieplitz als überregional bedeutsame Brut-, Rast- und</w:t>
      </w:r>
    </w:p>
    <w:p>
      <w:r>
        <w:t xml:space="preserve">Überwinterungsgebiete für Wiesenbrüter und Wasservögel,</w:t>
      </w:r>
    </w:p>
    <w:p>
      <w:r>
        <w:t xml:space="preserve">durch den Schutz von Biotopen, die den Kriterien der Richtlinie 43/92 EWG</w:t>
      </w:r>
    </w:p>
    <w:p>
      <w:r>
        <w:t xml:space="preserve">(Fauna-Flora-Habitat-Richtlinie) entsprechen,</w:t>
      </w:r>
    </w:p>
    <w:p>
      <w:r>
        <w:t xml:space="preserve">die Bedeutung des Gebietes als Pufferzone für die im Gebiet liegenden</w:t>
      </w:r>
    </w:p>
    <w:p>
      <w:r>
        <w:t xml:space="preserve">Naturschutzgebiete;</w:t>
      </w:r>
    </w:p>
    <w:p>
      <w:r>
        <w:t xml:space="preserve">die Erhaltung, Wiederherstellung und Entwicklung der Vielfalt, Eigenart</w:t>
      </w:r>
    </w:p>
    <w:p>
      <w:r>
        <w:t xml:space="preserve">oder Schönheit des eiszeitlich geformten und durch land- und</w:t>
      </w:r>
    </w:p>
    <w:p>
      <w:r>
        <w:t xml:space="preserve">forstwirtschaftliche Nutzungen geprägten Landschaftsbildes, insbesondere</w:t>
      </w:r>
    </w:p>
    <w:p>
      <w:r>
        <w:t xml:space="preserve">der durch das brandenburgische Stadium der Weichseleiszeit geformten</w:t>
      </w:r>
    </w:p>
    <w:p>
      <w:r>
        <w:t xml:space="preserve">Geomorphologie der Landschaft mit ihren landschaftsprägenden</w:t>
      </w:r>
    </w:p>
    <w:p>
      <w:r>
        <w:t xml:space="preserve">hügeligen Stauch- und Endmoränen, den Grundmoränenplatten,</w:t>
      </w:r>
    </w:p>
    <w:p>
      <w:r>
        <w:t xml:space="preserve">Sanderebenen, Dünen und geologischen Sonderbildungen wie</w:t>
      </w:r>
    </w:p>
    <w:p>
      <w:r>
        <w:t xml:space="preserve">Trockentälern, Rinnen und Söllen,</w:t>
      </w:r>
    </w:p>
    <w:p>
      <w:r>
        <w:t xml:space="preserve">der unzersiedelten Freiräume zwischen den vorhandenen dörflichen</w:t>
      </w:r>
    </w:p>
    <w:p>
      <w:r>
        <w:t xml:space="preserve">Siedlungen,</w:t>
      </w:r>
    </w:p>
    <w:p>
      <w:r>
        <w:t xml:space="preserve">der land- und forstwirtschaftlich geprägten, reichstrukturierten</w:t>
      </w:r>
    </w:p>
    <w:p>
      <w:r>
        <w:t xml:space="preserve">Landschaft mit ausgedehnten Wäldern, Forsten sowie Grünland und</w:t>
      </w:r>
    </w:p>
    <w:p>
      <w:r>
        <w:t xml:space="preserve">Ackerflächen,</w:t>
      </w:r>
    </w:p>
    <w:p>
      <w:r>
        <w:t xml:space="preserve">der landschaftsprägenden Niederungen von Nuthe und Nieplitz und ihren</w:t>
      </w:r>
    </w:p>
    <w:p>
      <w:r>
        <w:t xml:space="preserve">Nebengewässern mit ihren großräumig zusammenhängenden</w:t>
      </w:r>
    </w:p>
    <w:p>
      <w:r>
        <w:t xml:space="preserve">Grünlandkomplexen aus Wiesen und Weiden,</w:t>
      </w:r>
    </w:p>
    <w:p>
      <w:r>
        <w:t xml:space="preserve">der historisch geprägten Siedlungsstrukturen mit Alleen, Wiesen,</w:t>
      </w:r>
    </w:p>
    <w:p>
      <w:r>
        <w:t xml:space="preserve">Weiden, Äckern und Obstpflanzungen,</w:t>
      </w:r>
    </w:p>
    <w:p>
      <w:r>
        <w:t xml:space="preserve">der weitgehend offenen, reich gegliederten Kulturlandschaft mit ihren</w:t>
      </w:r>
    </w:p>
    <w:p>
      <w:r>
        <w:t xml:space="preserve">kleinräumigen Landschaftselementen wie Feldgehölzen, Hecken und</w:t>
      </w:r>
    </w:p>
    <w:p>
      <w:r>
        <w:t xml:space="preserve">Solitärbäumen;</w:t>
      </w:r>
    </w:p>
    <w:p>
      <w:r>
        <w:t xml:space="preserve">Die Erhaltung des Gebietes wegen seiner besonderen Bedeutung für die</w:t>
      </w:r>
    </w:p>
    <w:p>
      <w:r>
        <w:t xml:space="preserve">naturnahe Erholung im Einzugsbereich der Großräume Berlin und</w:t>
      </w:r>
    </w:p>
    <w:p>
      <w:r>
        <w:t xml:space="preserve">Potsdam, insbesondere</w:t>
      </w:r>
    </w:p>
    <w:p>
      <w:r>
        <w:t xml:space="preserve">durch Sicherung und Entwicklung ausreichender Freiräume und</w:t>
      </w:r>
    </w:p>
    <w:p>
      <w:r>
        <w:t xml:space="preserve">Grünzäsuren zwischen den Siedlungsbereichen sowie der dünn</w:t>
      </w:r>
    </w:p>
    <w:p>
      <w:r>
        <w:t xml:space="preserve">besiedelten ländlichen Gebiete,</w:t>
      </w:r>
    </w:p>
    <w:p>
      <w:r>
        <w:t xml:space="preserve">durch Sicherung und Entwicklung der dünn besiedelten ländlichen</w:t>
      </w:r>
    </w:p>
    <w:p>
      <w:r>
        <w:t xml:space="preserve">Gebiete für die landschaftsbezogene Erholung;</w:t>
      </w:r>
    </w:p>
    <w:p>
      <w:r>
        <w:t xml:space="preserve">die Entwicklung des Gebietes im Hinblick auf</w:t>
      </w:r>
    </w:p>
    <w:p>
      <w:r>
        <w:t xml:space="preserve">die Gestaltung und Strukturierung der Landschaft zur Erhöhung der</w:t>
      </w:r>
    </w:p>
    <w:p>
      <w:r>
        <w:t xml:space="preserve">Biotopqualität und zur Verbesserung der Erholungseignung,</w:t>
      </w:r>
    </w:p>
    <w:p>
      <w:r>
        <w:t xml:space="preserve">die Verbesserung des Wasserhaushalts durch Erhalt und Entwicklung von</w:t>
      </w:r>
    </w:p>
    <w:p>
      <w:r>
        <w:t xml:space="preserve">Retentionsflächen, naturnähere Gestaltung von</w:t>
      </w:r>
    </w:p>
    <w:p>
      <w:r>
        <w:t xml:space="preserve">Fließgewässern und Revitalisierung von Kleingewässern und</w:t>
      </w:r>
    </w:p>
    <w:p>
      <w:r>
        <w:t xml:space="preserve">Söllen,</w:t>
      </w:r>
    </w:p>
    <w:p>
      <w:r>
        <w:t xml:space="preserve">die Minderung der stofflichen Belastung durch die Förderung einer</w:t>
      </w:r>
    </w:p>
    <w:p>
      <w:r>
        <w:t xml:space="preserve">nachhaltigen, naturverträglichen Land- und Forstwirtschaft,</w:t>
      </w:r>
    </w:p>
    <w:p>
      <w:r>
        <w:t xml:space="preserve">die Beseitigung von Landschaftsschäden.</w:t>
      </w:r>
    </w:p>
    <w:p>
      <w:r>
        <w:rPr>
          <w:color w:val="555555"/>
          <w:sz w:val="17"/>
        </w:rPr>
        <w:t xml:space="preserve">Zitiervorschlag: § 3 VO-ID212857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