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VO-ID212857 (Brandenburg) — Schutzgegenstand</w:t>
      </w:r>
    </w:p>
    <w:p>
      <w:r>
        <w:rPr>
          <w:color w:val="555555"/>
          <w:sz w:val="18"/>
        </w:rPr>
        <w:t xml:space="preserve">Verordnung über das Landschaftsschutzgebiet „Nuthetal-Beelitzer Sander“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41 650 Hektar. Es liegt in den Gemeinden Ahrensdorf, Alt-Bork, Beelitz,</w:t>
      </w:r>
    </w:p>
    <w:p>
      <w:r>
        <w:t xml:space="preserve">Bergholz-Rehbrücke, Brachwitz, Buchholz bei Treuenbrietzen, Deutsch-Bork,</w:t>
      </w:r>
    </w:p>
    <w:p>
      <w:r>
        <w:t xml:space="preserve">Elsholz, Fahlhorst, Fresdorf, Großbeuthen, Jeserig, Klein Schulzendorf,</w:t>
      </w:r>
    </w:p>
    <w:p>
      <w:r>
        <w:t xml:space="preserve">Kliestow, Langerwisch, Luckenwalde, Ludwigsfelde Stadt, Lühsdorf, Nichel,</w:t>
      </w:r>
    </w:p>
    <w:p>
      <w:r>
        <w:t xml:space="preserve">Niebel, Niederwerbig, Nudow, Nuthe-Urstromtal, Philippsthal, Potsdam, Reesdorf,</w:t>
      </w:r>
    </w:p>
    <w:p>
      <w:r>
        <w:t xml:space="preserve">Rieben, Saarmund, Salzbrunn, Schäpe, Schenkenhorst, Schlalach,</w:t>
      </w:r>
    </w:p>
    <w:p>
      <w:r>
        <w:t xml:space="preserve">Schlunkendorf, Wildenbruch, Wittbrietzen, Zauchwitz, Schönhagen, Seddiner</w:t>
      </w:r>
    </w:p>
    <w:p>
      <w:r>
        <w:t xml:space="preserve">See, Stücken, Stadt Trebbin, Tremsdorf und Stadt Treuenbrietzen.</w:t>
      </w:r>
    </w:p>
    <w:p>
      <w:r>
        <w:t xml:space="preserve">Eine Kartenskizze zur Orientierung über die Lage des</w:t>
      </w:r>
    </w:p>
    <w:p>
      <w:r>
        <w:t xml:space="preserve">Landschaftsschutzgebietes ist dieser Verordnung als Anlage 1 beigefügt.</w:t>
      </w:r>
    </w:p>
    <w:p>
      <w:r>
        <w:t xml:space="preserve">(2) Die Grenze des Landschaftsschutzgebietes ist in den in</w:t>
      </w:r>
    </w:p>
    <w:p>
      <w:r>
        <w:t xml:space="preserve">Anlage 2 dieser Verordnung aufgeführten Karten mit ununterbrochener Linie</w:t>
      </w:r>
    </w:p>
    <w:p>
      <w:r>
        <w:t xml:space="preserve">eingezeichnet; als Grenze gilt der innere Rand dieser Linie. Die in Anlage 2 Nr.</w:t>
      </w:r>
    </w:p>
    <w:p>
      <w:r>
        <w:t xml:space="preserve">1 dieser Verordnung aufgeführte topografische Karte im Maßstab 1 : 50 000,</w:t>
      </w:r>
    </w:p>
    <w:p>
      <w:r>
        <w:t xml:space="preserve">Blattnummer L 3742, L 3744, L 3942, L 3944, dient der räumlichen Einordnung des</w:t>
      </w:r>
    </w:p>
    <w:p>
      <w:r>
        <w:t xml:space="preserve">Landschaftsschutzgebietes. Die Verortung im Gelände ermöglichen die in Anlage 2</w:t>
      </w:r>
    </w:p>
    <w:p>
      <w:r>
        <w:t xml:space="preserve">Nr. 2 aufgeführten 44 topografischen Karten im Maßstab 1 : 10 000.</w:t>
      </w:r>
    </w:p>
    <w:p>
      <w:r>
        <w:t xml:space="preserve">Maßgeblich für den Grenzverlauf ist die Einzeichnung in den in Anlage 2 Nummer 3</w:t>
      </w:r>
    </w:p>
    <w:p>
      <w:r>
        <w:t xml:space="preserve">aufgeführten 318 Flurkarten und in den in Nummer 4 aufgeführten 18</w:t>
      </w:r>
    </w:p>
    <w:p>
      <w:r>
        <w:t xml:space="preserve">Liegenschaftskarten.</w:t>
      </w:r>
    </w:p>
    <w:p>
      <w:r>
        <w:t xml:space="preserve">(3) Die Karten können beim Ministerium für Umwelt,</w:t>
      </w:r>
    </w:p>
    <w:p>
      <w:r>
        <w:t xml:space="preserve">Naturschutz und Raumordnung des Landes Brandenburg, oberste</w:t>
      </w:r>
    </w:p>
    <w:p>
      <w:r>
        <w:t xml:space="preserve">Naturschutzbehörde, in Potsdam sowie bei den Landkreisen</w:t>
      </w:r>
    </w:p>
    <w:p>
      <w:r>
        <w:t xml:space="preserve">Potsdam-Mittelmark und Teltow-Fläming und bei der kreisfreien Stadt</w:t>
      </w:r>
    </w:p>
    <w:p>
      <w:r>
        <w:t xml:space="preserve">Potsdam, untere Naturschutzbehörden, von jedermann während der</w:t>
      </w:r>
    </w:p>
    <w:p>
      <w:r>
        <w:t xml:space="preserve">Dienstzeiten kostenlos eingesehen werden.</w:t>
      </w:r>
    </w:p>
    <w:p>
      <w:r>
        <w:rPr>
          <w:color w:val="555555"/>
          <w:sz w:val="17"/>
        </w:rPr>
        <w:t xml:space="preserve">Zitiervorschlag: § 2 VO-ID212857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