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VO-ID212856 (Brandenburg) — Zulässige Handlungen</w:t>
      </w:r>
    </w:p>
    <w:p>
      <w:r>
        <w:rPr>
          <w:color w:val="555555"/>
          <w:sz w:val="18"/>
        </w:rPr>
        <w:t xml:space="preserve">Verordnung über das Landschaftsschutzgebiet „Norduckermärkische Seenlandschaft“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Entgegen § 4 dieser Verordnung bleiben zulässig:</w:t>
      </w:r>
    </w:p>
    <w:p>
      <w:r>
        <w:t xml:space="preserve">die im Sinne des § 11 Abs. 2 des Brandenburgischen Naturschutzgesetzes ordnungsgemäße landwirtschaftliche Bodennutzung auf den rechtmäßig dafür genutzten Flächen mit der Maßgabe, daß</w:t>
      </w:r>
    </w:p>
    <w:p>
      <w:r>
        <w:t xml:space="preserve">§ 4 Abs. 1 Nr. 3 und 4 sowie § 4 Abs. 2 Nr. 9, 11 und 12 gelten,</w:t>
      </w:r>
    </w:p>
    <w:p>
      <w:r>
        <w:t xml:space="preserve">§ 4 Abs. 1 Nr. 5 gilt, wobei eine Bewirtschaftung von Niedermooren entsprechend den Moortypen (Norm-, Mulm-, Erdniedermoor) ausgenommen ist. Dabei ist eine weitere Degradierung des Moorkörpers weitestgehend auszuschließen,</w:t>
      </w:r>
    </w:p>
    <w:p>
      <w:r>
        <w:t xml:space="preserve">§ 4 Abs. 2 Nr. 10 gilt, wobei die ordnungsgemäße landwirtschaftliche Bodennutzung zu gewährleisten ist. Dazu gehört jedoch nicht der Neubau oder die wesentliche Veränderung von Meliorationsanlagen;</w:t>
      </w:r>
    </w:p>
    <w:p>
      <w:r>
        <w:t xml:space="preserve">die im Sinne des § 11 Abs. 3 des Brandenburgischen Naturschutzgesetzes ordnungsgemäße forstwirtschaftliche Bodennutzung auf den rechtmäßig dafür genutzten Flächen mit der Maßgabe, daß § 4 Abs. 1 Nr. 3 und § 4 Abs. 2 Nr. 10 gelten;</w:t>
      </w:r>
    </w:p>
    <w:p>
      <w:r>
        <w:t xml:space="preserve">die im Sinne des § 11 Abs. 4 des Brandenburgischen Naturschutzgesetzes in Verbindung mit § 1 Abs. 1 und 2 des Fischereigesetzes für das Land Brandenburg ordnungsgemäße fischereiwirtschaftliche Flächennutzung sowie die Angelfischerei auf den rechtmäßig dafür genutzten Flächen mit der Maßgabe, daß</w:t>
      </w:r>
    </w:p>
    <w:p>
      <w:r>
        <w:t xml:space="preserve">§ 4 Abs. 1 Nr. 1 und 2 für die Angelfischerei gelten,</w:t>
      </w:r>
    </w:p>
    <w:p>
      <w:r>
        <w:t xml:space="preserve">Fanggeräte und Fangmittel derart einzusetzen oder auszustatten sind, daß ein Einschwimmen und eine Gefährdung des Fischotters weitestgehend ausgeschlossen ist;</w:t>
      </w:r>
    </w:p>
    <w:p>
      <w:r>
        <w:t xml:space="preserve">für den Bereich der Jagd</w:t>
      </w:r>
    </w:p>
    <w:p>
      <w:r>
        <w:t xml:space="preserve">die rechtmäßige Ausübung der Jagd mit der Maßgabe, daß das Betreten von Röhrichten und Schilfbeständen außer zur Nachsuche und zur Bergung von Wild und für die Durchführung von Drückjagden zwischen dem 1. November und dem 31. Januar verboten ist,</w:t>
      </w:r>
    </w:p>
    <w:p>
      <w:r>
        <w:t xml:space="preserve">die Errichtung von Kanzeln und Ansitzleitern, soweit das charakteristische Landschaftsbild nicht beeinträchtigt wird und nur Materialien verwendet werden, die sich in das Landschaftsbild einfügen;</w:t>
      </w:r>
    </w:p>
    <w:p>
      <w:r>
        <w:t xml:space="preserve">die ordnungsgemäße Unterhaltung der Gewässer im Benehmen mit der unteren Naturschutzbehörde und mit der Maßgabe, daß</w:t>
      </w:r>
    </w:p>
    <w:p>
      <w:r>
        <w:t xml:space="preserve">Maßnahmen zeitlich und räumlich derart durchzuführen sind, daß ein vielfältiger und standortgerechter Pflanzen- und Tierbestand erhalten bleibt oder sich neu entwickeln kann,</w:t>
      </w:r>
    </w:p>
    <w:p>
      <w:r>
        <w:t xml:space="preserve">bei erforderlichen Wasserbaumaßnahmen möglichst natürliche Baustoffe und ingenieurbiologische Methoden verwendet werden,</w:t>
      </w:r>
    </w:p>
    <w:p>
      <w:r>
        <w:t xml:space="preserve">keine Pflanzenschutzmittel eingesetzt werden.</w:t>
      </w:r>
    </w:p>
    <w:p>
      <w:r>
        <w:t xml:space="preserve">Der Herstellung des Benehmens bedarf es nicht, soweit es sich um unaufschiebbare Maßnahmen handelt;</w:t>
      </w:r>
    </w:p>
    <w:p>
      <w:r>
        <w:t xml:space="preserve">die ordnungsgemäße Unterhaltung rechtmäßig bestehender Anlagen einschließlich der dem öffentlichen Verkehr gewidmeten Straßen und Wege im Benehmen mit der unteren Naturschutzbehörde. Der Herstellung des Benehmens bedarf es nicht, soweit es sich um unaufschiebbare Maßnahmen handelt;</w:t>
      </w:r>
    </w:p>
    <w:p>
      <w:r>
        <w:t xml:space="preserve">die sonstigen, bei Inkrafttreten dieser Verordnung aufgrund behördlicher Einzelfallentscheidung rechtmäßig ausgeübten Nutzungen und Befugnisse in der bisherigen Art und im bisherigen Umfang;</w:t>
      </w:r>
    </w:p>
    <w:p>
      <w:r>
        <w:t xml:space="preserve">Schutz-, Pflege- und Entwicklungsmaßnahmen, die von der unteren Naturschutzbehörde oder der von ihr beauftragten Stelle angeordnet worden sind;</w:t>
      </w:r>
    </w:p>
    <w:p>
      <w:r>
        <w:t xml:space="preserve">Maßnahmen zur Untersuchung von Altlast-Verdachtsflächen und Maßnahmen der Altlastensanierung im Benehmen mit der unteren Naturschutzbehörde. Der Herstellung des Benehmens bedarf es nicht, soweit es sich um unaufschiebbare Maßnahmen handelt;</w:t>
      </w:r>
    </w:p>
    <w:p>
      <w:r>
        <w:t xml:space="preserve">behördlich angeordnete oder zugelassene Beschilderungen;</w:t>
      </w:r>
    </w:p>
    <w:p>
      <w:r>
        <w:t xml:space="preserve">Handlungen nach § 4 Abs. 1 Nr. 4 in rechtmäßig bestehenden Baumschulen, Gärten, Friedhöfen, Park- und Gartenanlagen;</w:t>
      </w:r>
    </w:p>
    <w:p>
      <w:r>
        <w:t xml:space="preserve">die Nachrüstung bestehender landwirtschaftlicher Anlagen, soweit sie nach dem Bundesimmissionsschutzgesetz bis zum 30. Juni 1999 erforderlich ist.</w:t>
      </w:r>
    </w:p>
    <w:p>
      <w:r>
        <w:t xml:space="preserve">(2) Die in § 4 Abs. 1 Nr. 1 und 2 sowie § 4 Abs. 2 Nr. 5 dieser Verordnung für das Befahren des Landschaftsschutzgebietes enthaltenen Einschränkungen gelten nicht für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VO-ID212856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https://recht.nulegal.eu/gesetze/VO-ID212856/5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