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VO-ID212856 (Brandenburg) — Verbote, Genehmigungsvorbehalte</w:t>
      </w:r>
    </w:p>
    <w:p>
      <w:r>
        <w:rPr>
          <w:color w:val="555555"/>
          <w:sz w:val="18"/>
        </w:rPr>
        <w:t xml:space="preserve">Verordnung über das Landschaftsschutzgebiet „Norduckermärkische Seenlandschaft“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im Landschaftsschutzgebiet gemäß § 22 Abs. 3 des Brandenburgischen Naturschutzgesetzes folgende Handlungen verboten:</w:t>
      </w:r>
    </w:p>
    <w:p>
      <w:r>
        <w:t xml:space="preserve">Röhricht- oder Schilfbestände zu betreten oder zu befahren;</w:t>
      </w:r>
    </w:p>
    <w:p>
      <w:r>
        <w:t xml:space="preserve">sich außerhalb der ausgewiesenen Wasserwanderwege wasserseitig Röhrichten und Schwimmblattgesellschaften dichter als fünf Meter zu nähern; dies gilt nicht für Bundeswasserstraßen;</w:t>
      </w:r>
    </w:p>
    <w:p>
      <w:r>
        <w:t xml:space="preserve">Heiden, Trockenrasen, Binnendünen, Streunutzungswiesen, Landröhrichte, Binsen- und Seggenriede zu düngen, mit Pflanzenschutzmitteln zu behandeln, umzubrechen, aufzuforsten oder in anderer Weise zu zerstören oder zu beeinträchtigen;</w:t>
      </w:r>
    </w:p>
    <w:p>
      <w:r>
        <w:t xml:space="preserve">Bäume außerhalb des Waldes, Ufergehölze, Ufervegetation, Gebüsche, Feld- oder Wallhecken, Feldgehölze, Findlinge oder Lesesteinhaufen zu beschädigen oder zu beseitigen. Dies betrifft nicht die Anlage und Erweiterung von Lesesteinhaufen;</w:t>
      </w:r>
    </w:p>
    <w:p>
      <w:r>
        <w:t xml:space="preserve">Grünland auf Niedermoorstandorten umzubrechen oder in anderer Weise zu beeinträchtigen.</w:t>
      </w:r>
    </w:p>
    <w:p>
      <w:r>
        <w:t xml:space="preserve">(2) Sonstige Handlungen, die geeignet sind, den Charakter des Gebietes zu verändern, den Naturhaushalt zu schädigen, das Landschaftsbild zu verunstalten, den Naturgenuß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oder Werbeanlagen aufzustellen oder anzubringen, ausgenommen zur saisonalen Direktvermarktung landwirtschaftlicher Produkte;</w:t>
      </w:r>
    </w:p>
    <w:p>
      <w:r>
        <w:t xml:space="preserve">Straßen, Wege, Plätze oder sonstige Verkehrseinrichtungen anzulegen, Leitungen zu verlegen oder solche Anlagen zu verändern;</w:t>
      </w:r>
    </w:p>
    <w:p>
      <w:r>
        <w:t xml:space="preserve">auf dem Großen Wahrensee, Hardenbecker Haussee und Trebowsee in der Zeit vom 1. Oktober bis 30. April zu surfen;</w:t>
      </w:r>
    </w:p>
    <w:p>
      <w:r>
        <w:t xml:space="preserve">Motor- oder Modellsport zu betreiben oder Einrichtungen dafür bereitzuhalten;</w:t>
      </w:r>
    </w:p>
    <w:p>
      <w:r>
        <w:t xml:space="preserve">außerhalb der dafür zugelassenen Wege zu reiten; § 20 Abs. 3 des Landeswaldgesetzes bleibt unberührt;</w:t>
      </w:r>
    </w:p>
    <w:p>
      <w:r>
        <w:t xml:space="preserve">außerhalb öffentlich-rechtlich zugelassener und gekennzeichneter Plätze zu lagern, Wohnwagen aufzustellen sowie offene Feuerstätten zu errichten oder zu betreiben. Dies gilt nicht für Haus- und Kleingärten;</w:t>
      </w:r>
    </w:p>
    <w:p>
      <w:r>
        <w:t xml:space="preserve">Grünland in eine andere Nutzungsart zu überführen;</w:t>
      </w:r>
    </w:p>
    <w:p>
      <w:r>
        <w:t xml:space="preserve">Gewässer jeder Art entgegen dem Schutzzweck zu verändern;</w:t>
      </w:r>
    </w:p>
    <w:p>
      <w:r>
        <w:t xml:space="preserve">die Bodendecke auf Acker- oder Grünland abzubrennen;</w:t>
      </w:r>
    </w:p>
    <w:p>
      <w:r>
        <w:t xml:space="preserve">Mineraldünger oder Pflanzenschutzmittel aus der Luft auszubringen.</w:t>
      </w:r>
    </w:p>
    <w:p>
      <w:r>
        <w:t xml:space="preserve">(3) Die Genehmigung nach Absatz 2 wird, unbeschadet anderer Rechtsvorschriften, auf Antrag von der obersten Naturschutzbehörde erteilt,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t xml:space="preserve">(5) Die Bestimmung, welche Gewässer beziehungsweise Gewässerteile nach § 43 Abs. 4 des Brandenburgischen Wassergesetzes für den Tauchsport zugelassen werden, ergeht im Einvernehmen mit der unteren Naturschutzbehörde.</w:t>
      </w:r>
    </w:p>
    <w:p>
      <w:r>
        <w:rPr>
          <w:color w:val="555555"/>
          <w:sz w:val="17"/>
        </w:rPr>
        <w:t xml:space="preserve">Zitiervorschlag: § 4 VO-ID212856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