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VO-ID212856 (Brandenburg) — Schutzzweck</w:t>
      </w:r>
    </w:p>
    <w:p>
      <w:r>
        <w:rPr>
          <w:color w:val="555555"/>
          <w:sz w:val="18"/>
        </w:rPr>
        <w:t xml:space="preserve">Verordnung über das Landschaftsschutzgebiet „Norduckermärkische Seenlandschaft“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Schutzzweck ist</w:t>
      </w:r>
    </w:p>
    <w:p>
      <w:r>
        <w:t xml:space="preserve">die Bewahrung der Vielfalt, Eigenart und Schönheit des Landschaftsbildes einer eiszeitlich geprägten, ursprünglich vorwiegend extensiv genutzten Kulturlandschaft, insbesondere</w:t>
      </w:r>
    </w:p>
    <w:p>
      <w:r>
        <w:t xml:space="preserve">einer reich strukturierten, weitgehend harmonischen Kulturlandschaft mit einer Vielzahl unterschiedlicher, stark miteinander verzahnter Landschaftselemente, vor allem Seen, Kleingewässer, Röhrichte, Sümpfe und Moore, Heiden, Offenlandschaften und ausgedehnter Laubmischwälder, Mittelwaldreste, Streunutzungswiesen,</w:t>
      </w:r>
    </w:p>
    <w:p>
      <w:r>
        <w:t xml:space="preserve">der kulturhistorisch wertvollen Zeugnisse menschlicher Siedlungstätigkeit wie zum Beispiel Alleen, Streuobstbestände, Feldgehölze und Brachen sowie gebietstypischer Dorfstrukturen, Vorwerke und Ausbaue,</w:t>
      </w:r>
    </w:p>
    <w:p>
      <w:r>
        <w:t xml:space="preserve">der geologischen Bildungen wie Sander, End- und Grundmoränen und der naturhistorischen Besonderheiten wie beispielsweise Oser, Binnendünen, Sölle und Findlinge;</w:t>
      </w:r>
    </w:p>
    <w:p>
      <w:r>
        <w:t xml:space="preserve">die Erhaltung oder Wiederherstellung der Leistungsfähigkeit des Naturhaushaltes, insbesondere</w:t>
      </w:r>
    </w:p>
    <w:p>
      <w:r>
        <w:t xml:space="preserve">zur Erhaltung von Klarwasserseen und zur Wiederherstellung des gestörten Wasserhaushaltes sowie zur Verbesserung der Wasserqualität,</w:t>
      </w:r>
    </w:p>
    <w:p>
      <w:r>
        <w:t xml:space="preserve">zur Sicherung nährstoffarmer Standorte und zum Schutz der Böden vor Überbauung, Degradierung und Erosion,</w:t>
      </w:r>
    </w:p>
    <w:p>
      <w:r>
        <w:t xml:space="preserve">wegen der Bedeutung des Gebietes als Klimaausgleichsfläche und Frischluftentstehungsgebiet,</w:t>
      </w:r>
    </w:p>
    <w:p>
      <w:r>
        <w:t xml:space="preserve">zur Erhaltung und Förderung strukturierter land­ und forstwirtschaftlich genutzter Flächen bestehend aus Ackerland, Brachen, Wiesen, Weiden, Hecken und Trockenrasen sowie zur Entwicklung naturnaher Laubmischwälder,</w:t>
      </w:r>
    </w:p>
    <w:p>
      <w:r>
        <w:t xml:space="preserve">zur Erhaltung und Entwicklung der landschaftstypischen Lebensraum- und Artenvielfalt der an feuchte oder sehr trockene Räume gebundenen, seltenen Tier- und Pflanzenarten,</w:t>
      </w:r>
    </w:p>
    <w:p>
      <w:r>
        <w:t xml:space="preserve">zur Erhaltung großer, zusammenhängender Ruheräume mit niedriger Belastung durch Schadstoff-, Lärm- und Lichtemission,</w:t>
      </w:r>
    </w:p>
    <w:p>
      <w:r>
        <w:t xml:space="preserve">zur Bewahrung dieser zusammenhängenden Räume vor Landschaftszerschneidung und -zersiedelung,</w:t>
      </w:r>
    </w:p>
    <w:p>
      <w:r>
        <w:t xml:space="preserve">zur Förderung und Sicherung der wertvollen Biotope durch die Vernetzungs- und Pufferfunktion des Gebietes;</w:t>
      </w:r>
    </w:p>
    <w:p>
      <w:r>
        <w:t xml:space="preserve">die Erhaltung des Gebietes wegen seiner besonderen Bedeutung für die naturverträgliche Erholung;</w:t>
      </w:r>
    </w:p>
    <w:p>
      <w:r>
        <w:t xml:space="preserve">die Entwicklung des Gebietes unter Berücksichtigung des § 3 Nr. 1 a) und b) sowie Nr. 3.</w:t>
      </w:r>
    </w:p>
    <w:p>
      <w:r>
        <w:rPr>
          <w:color w:val="555555"/>
          <w:sz w:val="17"/>
        </w:rPr>
        <w:t xml:space="preserve">Zitiervorschlag: § 3 VO-ID212856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https://recht.nulegal.eu/gesetze/VO-ID212856/3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