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11 VO-ID212856 (Brandenburg) — Inkrafttreten, Außerkrafttreten</w:t>
      </w:r>
    </w:p>
    <w:p>
      <w:r>
        <w:rPr>
          <w:color w:val="555555"/>
          <w:sz w:val="18"/>
        </w:rPr>
        <w:t xml:space="preserve">Verordnung über das Landschaftsschutzgebiet „Norduckermärkische Seenlandschaft“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Diese Verordnung tritt am Tage nach der Verkündung in Kraft.</w:t>
      </w:r>
    </w:p>
    <w:p>
      <w:r>
        <w:t xml:space="preserve">(2) Mit dem Inkrafttreten dieser Verordnung tritt außer Kraft:</w:t>
      </w:r>
    </w:p>
    <w:p>
      <w:r>
        <w:t xml:space="preserve">Der Beschluß Nr. X - 5 - 10/62 des Rates des Bezirkes Neubrandenburg vom 25. Mai 1962 über die Erklärung von Landschaftsteilen zu Landschaftsschutzgebieten für die Landschaftsschutzgebiete "Comthurey", "Feldberger Seenlandschaft", "Großer See bei Fürstenwerder", "Lychen - Boitzenburg" und "Templiner Seenkreuz" für den Geltungsbereich dieser Verordnung sowie für die außerhalb des Geltungsbereichs dieser Verordnung liegenden, jedoch vom Landschaftsschutzgebiet allseits umschlossenen Flächen.</w:t>
      </w:r>
    </w:p>
    <w:p>
      <w:r>
        <w:t xml:space="preserve">Potsdam, den 12. Dezember 1996</w:t>
      </w:r>
    </w:p>
    <w:p>
      <w:r>
        <w:t xml:space="preserve">Der Minister für Umwelt,</w:t>
      </w:r>
    </w:p>
    <w:p>
      <w:r>
        <w:t xml:space="preserve">Naturschutz und Raumordnung</w:t>
      </w:r>
    </w:p>
    <w:p>
      <w:r>
        <w:t xml:space="preserve">Matthias Platzeck</w:t>
      </w:r>
    </w:p>
    <w:p>
      <w:r>
        <w:rPr>
          <w:color w:val="555555"/>
          <w:sz w:val="17"/>
        </w:rPr>
        <w:t xml:space="preserve">Zitiervorschlag: § 11 VO-ID212856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https://recht.nulegal.eu/gesetze/VO-ID212856/11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11 VO-ID212856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