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VO-ID212856 (Brandenburg) — Erklärung zum Schutzgebiet</w:t>
      </w:r>
    </w:p>
    <w:p>
      <w:r>
        <w:rPr>
          <w:color w:val="555555"/>
          <w:sz w:val="18"/>
        </w:rPr>
        <w:t xml:space="preserve">Verordnung über das Landschaftsschutzgebiet „Norduckermärkische Seenlandschaft“</w:t>
      </w:r>
    </w:p>
    <w:p>
      <w:r>
        <w:rPr>
          <w:color w:val="555555"/>
          <w:sz w:val="18"/>
        </w:rPr>
        <w:t xml:space="preserve">Landesrecht Brandenburg</w:t>
      </w:r>
    </w:p>
    <w:p>
      <w:r>
        <w:rPr>
          <w:color w:val="555555"/>
          <w:sz w:val="18"/>
        </w:rPr>
        <w:t xml:space="preserve">Stand: 02.08.2026 (konsolidierte Textfassung, kein amtliches Inkrafttretensdatum)</w:t>
      </w:r>
    </w:p>
    <w:p>
      <w:r>
        <w:t xml:space="preserve">Die in § 2 dieser Verordnung näher bezeichneten Flächen im Landkreis Uckermark in den Gemarkungen Ahrensdorf, Annenwalde, Arendsee, Beenz bei Lychen, Berkholz, Beutel, Boitzenburg, Buchenhain, Christianenhof, Damerow, Densow, Ferdinandshorst, Funkenhagen, Fürstenwerder, Gandenitz, Gollmitz, Groß Sperrenwalde, Güstow, Hammelspring, Hardenbeck, Herzfelde, Hindenburg, Horst, Jakobshagen, Klaushagen, Klein Sperrenwalde, Klosterwalde, Kraatz, Kröchlendorff, Lychen, Metzelthin, Naugarten, Netzow, Ottenhagen, Parmen, Petznick, Prenzlau, Raakow, Retzow, Röddelin, Rosenow, Rutenberg, Schapow, Schönermark, Tangersdorf, Templin, Thiesort-Mühle, Thomsdorf, Warthe, Weggun, Wichmannsdorf, Wittstock und Zerwelin werden als Landschaftsschutzgebiet festgesetzt. Das Landschaftsschutzgebiet trägt die Bezeichnung "Norduckermärkische Seenlandschaft".</w:t>
      </w:r>
    </w:p>
    <w:p>
      <w:r>
        <w:rPr>
          <w:color w:val="555555"/>
          <w:sz w:val="17"/>
        </w:rPr>
        <w:t xml:space="preserve">Zitiervorschlag: § 1 VO-ID212856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https://recht.nulegal.eu/gesetze/VO-ID212856/1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