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VO-ID212854 (Brandenburg) — Pflege- und Entwicklungsmaßnahmen</w:t>
      </w:r>
    </w:p>
    <w:p>
      <w:r>
        <w:rPr>
          <w:color w:val="555555"/>
          <w:sz w:val="18"/>
        </w:rPr>
        <w:t xml:space="preserve">Verordnung über das Landschaftsschutzgebiet „Nauen-Brieselang-Krämer“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das Landschaftsschutzgebiet werden folgende Pflege- und</w:t>
      </w:r>
    </w:p>
    <w:p>
      <w:r>
        <w:t xml:space="preserve">Entwicklungsmaßnahmen als Zielvorgabe festgelegt:</w:t>
      </w:r>
    </w:p>
    <w:p>
      <w:r>
        <w:t xml:space="preserve">die Grünlandbewirtschaftung soll extensiv erfolgen, vorrangig auf</w:t>
      </w:r>
    </w:p>
    <w:p>
      <w:r>
        <w:t xml:space="preserve">Niedermoor und grundwassernahen Standorten wie z. B. im Groß- und</w:t>
      </w:r>
    </w:p>
    <w:p>
      <w:r>
        <w:t xml:space="preserve">Kleinziethener Luch, am Nauen-Paretzer Kanal und am Muhrgraben westlich von</w:t>
      </w:r>
    </w:p>
    <w:p>
      <w:r>
        <w:t xml:space="preserve">Hennigsdorf sowie auf kleinflächigen, nährstoffarmen Sonderstandorten</w:t>
      </w:r>
    </w:p>
    <w:p>
      <w:r>
        <w:t xml:space="preserve">auf Geländekuppen oder an Hangkanten;</w:t>
      </w:r>
    </w:p>
    <w:p>
      <w:r>
        <w:t xml:space="preserve">Ackerflächen auf feuchten Grenzertragsstandorten sollen in</w:t>
      </w:r>
    </w:p>
    <w:p>
      <w:r>
        <w:t xml:space="preserve">Extensivgrünland umgewandelt werden;</w:t>
      </w:r>
    </w:p>
    <w:p>
      <w:r>
        <w:t xml:space="preserve">Hecken, Feldgehölze und andere Gliederungsstrukturen der Feldmark</w:t>
      </w:r>
    </w:p>
    <w:p>
      <w:r>
        <w:t xml:space="preserve">sollen durch periodische Pflegemaßnahmen erhalten bzw. geschaffen oder</w:t>
      </w:r>
    </w:p>
    <w:p>
      <w:r>
        <w:t xml:space="preserve">ergänzt werden;</w:t>
      </w:r>
    </w:p>
    <w:p>
      <w:r>
        <w:t xml:space="preserve">die Kiefernforsten sollen mittelfristig in standortheimische</w:t>
      </w:r>
    </w:p>
    <w:p>
      <w:r>
        <w:t xml:space="preserve">Mischwaldbestände umgebaut werden;</w:t>
      </w:r>
    </w:p>
    <w:p>
      <w:r>
        <w:t xml:space="preserve">zur Erholungslenkung sollen Rad-, Wander- und Reitwegenetze sowie</w:t>
      </w:r>
    </w:p>
    <w:p>
      <w:r>
        <w:t xml:space="preserve">entsprechende Einrichtungen so angelegt werden, daß</w:t>
      </w:r>
    </w:p>
    <w:p>
      <w:r>
        <w:t xml:space="preserve">störungsempfindliche Tierarten nicht gefährdet werden.</w:t>
      </w:r>
    </w:p>
    <w:p>
      <w:r>
        <w:rPr>
          <w:color w:val="555555"/>
          <w:sz w:val="17"/>
        </w:rPr>
        <w:t xml:space="preserve">Zitiervorschlag: § 6 VO-ID212854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https://recht.nulegal.eu/gesetze/VO-ID212854/6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