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VO-ID212854 (Brandenburg) — Zulässige Handlungen</w:t>
      </w:r>
    </w:p>
    <w:p>
      <w:r>
        <w:rPr>
          <w:color w:val="555555"/>
          <w:sz w:val="18"/>
        </w:rPr>
        <w:t xml:space="preserve">Verordnung über das Landschaftsschutzgebiet „Nauen-Brieselang-Krämer“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Entgegen § 4 dieser Verordnung bleiben zulässig:</w:t>
      </w:r>
    </w:p>
    <w:p>
      <w:r>
        <w:t xml:space="preserve">die im Sinne des § 11 Abs. 2 des Brandenburgischen Naturschutzgesetzes</w:t>
      </w:r>
    </w:p>
    <w:p>
      <w:r>
        <w:t xml:space="preserve">ordnungsgemäße landwirtschaftliche Bodennutzung mit der</w:t>
      </w:r>
    </w:p>
    <w:p>
      <w:r>
        <w:t xml:space="preserve">Maßgabe, daß</w:t>
      </w:r>
    </w:p>
    <w:p>
      <w:r>
        <w:t xml:space="preserve">§ 4 Abs. 1 Nr. 2 sowie § 4 Abs. 2 Nr. 8 gelten,</w:t>
      </w:r>
    </w:p>
    <w:p>
      <w:r>
        <w:t xml:space="preserve">§ 4 Abs. 1 Nr. 1 gilt, wobei eine Bewirtschaftung von Niedermooren</w:t>
      </w:r>
    </w:p>
    <w:p>
      <w:r>
        <w:t xml:space="preserve">entsprechend den Moortypen (Norm-, Mulm-, Erdniedermoor) ausgenommen ist. Dabei</w:t>
      </w:r>
    </w:p>
    <w:p>
      <w:r>
        <w:t xml:space="preserve">ist eine weitere Degradierung des Moorkörpers weitestgehend</w:t>
      </w:r>
    </w:p>
    <w:p>
      <w:r>
        <w:t xml:space="preserve">auszuschließen;</w:t>
      </w:r>
    </w:p>
    <w:p>
      <w:r>
        <w:t xml:space="preserve">die im Sinne des § 11 Abs. 3 des Brandenburgischen Naturschutzgesetzes</w:t>
      </w:r>
    </w:p>
    <w:p>
      <w:r>
        <w:t xml:space="preserve">ordnungsgemäße forstwirtschaftliche Bodennutzung mit der</w:t>
      </w:r>
    </w:p>
    <w:p>
      <w:r>
        <w:t xml:space="preserve">Maßgabe, daß</w:t>
      </w:r>
    </w:p>
    <w:p>
      <w:r>
        <w:t xml:space="preserve">Höhlenbäume erhalten bleiben,</w:t>
      </w:r>
    </w:p>
    <w:p>
      <w:r>
        <w:t xml:space="preserve">§ 4 Abs. 1 Nr. 2 gilt;</w:t>
      </w:r>
    </w:p>
    <w:p>
      <w:r>
        <w:t xml:space="preserve">die im Sinne des § 11 Abs. 4 des Brandenburgischen Naturschutzgesetzes</w:t>
      </w:r>
    </w:p>
    <w:p>
      <w:r>
        <w:t xml:space="preserve">ordnungsgemäße fischereiwirtschaftliche Flächennutzung sowie</w:t>
      </w:r>
    </w:p>
    <w:p>
      <w:r>
        <w:t xml:space="preserve">die Angelfischerei mit der Maßgabe, daß Fanggeräte und</w:t>
      </w:r>
    </w:p>
    <w:p>
      <w:r>
        <w:t xml:space="preserve">Fangmittel so einzusetzen oder auszustatten sind, daß ein Einschwimmen</w:t>
      </w:r>
    </w:p>
    <w:p>
      <w:r>
        <w:t xml:space="preserve">des Fischotters weitgehend ausgeschlossen ist;</w:t>
      </w:r>
    </w:p>
    <w:p>
      <w:r>
        <w:t xml:space="preserve">für den Bereich der Jagd:</w:t>
      </w:r>
    </w:p>
    <w:p>
      <w:r>
        <w:t xml:space="preserve">die rechtmäßige Ausübung der Jagd,</w:t>
      </w:r>
    </w:p>
    <w:p>
      <w:r>
        <w:t xml:space="preserve">die Errichtung von Ansitzleitern und Kanzeln, soweit das charakteristische</w:t>
      </w:r>
    </w:p>
    <w:p>
      <w:r>
        <w:t xml:space="preserve">Landschaftsbild nicht beeinträchtigt wird und nur Materialien verwendet</w:t>
      </w:r>
    </w:p>
    <w:p>
      <w:r>
        <w:t xml:space="preserve">werden, die sich in das Landschaftsbild einfügen;</w:t>
      </w:r>
    </w:p>
    <w:p>
      <w:r>
        <w:t xml:space="preserve">die ordnungsgemäße Unterhaltung der Gewässer im Benehmen</w:t>
      </w:r>
    </w:p>
    <w:p>
      <w:r>
        <w:t xml:space="preserve">mit der unteren Naturschutzbehörde und mit der Maßgabe, daß</w:t>
      </w:r>
    </w:p>
    <w:p>
      <w:r>
        <w:t xml:space="preserve">Maßnahmen zeitlich und räumlich derart durchzuführen sind,</w:t>
      </w:r>
    </w:p>
    <w:p>
      <w:r>
        <w:t xml:space="preserve">daß ein vielfältiger und standortgerechter Pflanzen- und Tierbestand</w:t>
      </w:r>
    </w:p>
    <w:p>
      <w:r>
        <w:t xml:space="preserve">erhalten bleibt oder sich neu entwickeln kann,</w:t>
      </w:r>
    </w:p>
    <w:p>
      <w:r>
        <w:t xml:space="preserve">bei erforderlichen Wasserbaumaßnahmen möglichst natürliche</w:t>
      </w:r>
    </w:p>
    <w:p>
      <w:r>
        <w:t xml:space="preserve">Baustoffe und ingenieurbiologische Methoden verwendet werden,</w:t>
      </w:r>
    </w:p>
    <w:p>
      <w:r>
        <w:t xml:space="preserve">keine Pflanzenschutzmittel verwendet werden. Der Herstellung des Benehmens</w:t>
      </w:r>
    </w:p>
    <w:p>
      <w:r>
        <w:t xml:space="preserve">bedarf es nicht, soweit es sich um unaufschiebbare Maßnahmen handelt;</w:t>
      </w:r>
    </w:p>
    <w:p>
      <w:r>
        <w:t xml:space="preserve">die ordnungsgemäße Unterhaltung der rechtmäßig</w:t>
      </w:r>
    </w:p>
    <w:p>
      <w:r>
        <w:t xml:space="preserve">bestehenden Anlagen einschließlich der dem öffentlichen Verkehr</w:t>
      </w:r>
    </w:p>
    <w:p>
      <w:r>
        <w:t xml:space="preserve">gewidmeten Straßen und Wege im Benehmen mit der unteren</w:t>
      </w:r>
    </w:p>
    <w:p>
      <w:r>
        <w:t xml:space="preserve">Naturschutzbehörde. Der Herstellung eines Benehmens bedarf es nicht,</w:t>
      </w:r>
    </w:p>
    <w:p>
      <w:r>
        <w:t xml:space="preserve">soweit es sich um unaufschiebbare Maßnahmen handelt;</w:t>
      </w:r>
    </w:p>
    <w:p>
      <w:r>
        <w:t xml:space="preserve">die sonstigen, bei Inkrafttreten dieser Verordnung auf Grund</w:t>
      </w:r>
    </w:p>
    <w:p>
      <w:r>
        <w:t xml:space="preserve">behördlicher Einzelfallentscheidung rechtmäßig ausgeübten</w:t>
      </w:r>
    </w:p>
    <w:p>
      <w:r>
        <w:t xml:space="preserve">Nutzungen und Befugnisse in der bisherigen Art und im bisherigen Umfang;</w:t>
      </w:r>
    </w:p>
    <w:p>
      <w:r>
        <w:t xml:space="preserve">Schutz-, Pflege- und Entwicklungsmaßnahmen, die von der unteren</w:t>
      </w:r>
    </w:p>
    <w:p>
      <w:r>
        <w:t xml:space="preserve">Naturschutzbehörde angeordnet worden sind;</w:t>
      </w:r>
    </w:p>
    <w:p>
      <w:r>
        <w:t xml:space="preserve">Maßnahmen zur Untersuchung von Altlast-Verdachtsflächen und</w:t>
      </w:r>
    </w:p>
    <w:p>
      <w:r>
        <w:t xml:space="preserve">Maßnahmen der Altlastensanierung im Benehmen mit der unteren</w:t>
      </w:r>
    </w:p>
    <w:p>
      <w:r>
        <w:t xml:space="preserve">Naturschutzbehörde. Der Herstellung des Benehmens bedarf es nicht, soweit</w:t>
      </w:r>
    </w:p>
    <w:p>
      <w:r>
        <w:t xml:space="preserve">es sich um unaufschiebbare Maßnahmen handelt;</w:t>
      </w:r>
    </w:p>
    <w:p>
      <w:r>
        <w:t xml:space="preserve">behördlich angeordnete oder zugelassene Beschilderungen;</w:t>
      </w:r>
    </w:p>
    <w:p>
      <w:r>
        <w:t xml:space="preserve">die Nachrüstung bestehender landwirtschaftlicher Anlagen, soweit sie</w:t>
      </w:r>
    </w:p>
    <w:p>
      <w:r>
        <w:t xml:space="preserve">nach dem Bundesimmissionsschutzgesetz bis zum 30. Juni 1999 erforderlich ist;</w:t>
      </w:r>
    </w:p>
    <w:p>
      <w:r>
        <w:t xml:space="preserve">Handlungen nach § 4 Abs. 1 Nr. 3 in rechtmäßig bestehenden</w:t>
      </w:r>
    </w:p>
    <w:p>
      <w:r>
        <w:t xml:space="preserve">Baumschulen, Gärten, Friedhöfen, Park- und Gartenanlagen.</w:t>
      </w:r>
    </w:p>
    <w:p>
      <w:r>
        <w:t xml:space="preserve">(2) Die in § 4 Abs. 2 dieser Verordnung für das Befahren des</w:t>
      </w:r>
    </w:p>
    <w:p>
      <w:r>
        <w:t xml:space="preserve">Landschaftsschutzgebietes enthaltenen Einschränkungen gelten nicht</w:t>
      </w:r>
    </w:p>
    <w:p>
      <w:r>
        <w:t xml:space="preserve">für die Dienstkräfte der Naturschutzbehörden, die</w:t>
      </w:r>
    </w:p>
    <w:p>
      <w:r>
        <w:t xml:space="preserve">zuständigen Naturschutzhelfer und sonstige von den</w:t>
      </w:r>
    </w:p>
    <w:p>
      <w:r>
        <w:t xml:space="preserve">Naturschutzbehörden beauftragte Personen sowie für Dienstkräfte</w:t>
      </w:r>
    </w:p>
    <w:p>
      <w:r>
        <w:t xml:space="preserve">und beauftragte Personen anderer zuständiger Behörden und</w:t>
      </w:r>
    </w:p>
    <w:p>
      <w:r>
        <w:t xml:space="preserve">Einrichtungen und die von ihnen beauftragten Personen, soweit diese in</w:t>
      </w:r>
    </w:p>
    <w:p>
      <w:r>
        <w:t xml:space="preserve">Wahrnehmung ihrer gesetzlichen Aufgaben handeln. Der Genehmigungsvorbehalt nach</w:t>
      </w:r>
    </w:p>
    <w:p>
      <w:r>
        <w:t xml:space="preserve">§ 19 Abs. 3 des Landeswaldgesetzes bleibt unberührt.</w:t>
      </w:r>
    </w:p>
    <w:p>
      <w:r>
        <w:rPr>
          <w:color w:val="555555"/>
          <w:sz w:val="17"/>
        </w:rPr>
        <w:t xml:space="preserve">Zitiervorschlag: § 5 VO-ID212854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https://recht.nulegal.eu/gesetze/VO-ID212854/5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