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VO-ID212854 (Brandenburg) — Inkrafttreten</w:t>
      </w:r>
    </w:p>
    <w:p>
      <w:r>
        <w:rPr>
          <w:color w:val="555555"/>
          <w:sz w:val="18"/>
        </w:rPr>
        <w:t xml:space="preserve">Verordnung über das Landschaftsschutzgebiet „Nauen-Brieselang-Krämer“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Diese Verordnung tritt am Tage nach der Verkündung in Kraft.</w:t>
      </w:r>
    </w:p>
    <w:p>
      <w:r>
        <w:t xml:space="preserve">(2) Mit dem Inkrafttreten dieser Verordnung tritt der Beschluß Nr.</w:t>
      </w:r>
    </w:p>
    <w:p>
      <w:r>
        <w:t xml:space="preserve">149-14/66 über die Erklärung zum Landschaftsschutzgebiet</w:t>
      </w:r>
    </w:p>
    <w:p>
      <w:r>
        <w:t xml:space="preserve">"Nauen-Brieselang" des Rates des Bezirkes Potsdam vom 20. Juli 1966</w:t>
      </w:r>
    </w:p>
    <w:p>
      <w:r>
        <w:t xml:space="preserve">für den Geltungsbereich dieser Verordnung und für Ortslagen und</w:t>
      </w:r>
    </w:p>
    <w:p>
      <w:r>
        <w:t xml:space="preserve">ortsnahe Bereiche, die allseitig vom Geltungsbereich dieser Verordnung</w:t>
      </w:r>
    </w:p>
    <w:p>
      <w:r>
        <w:t xml:space="preserve">umschlossen sind, außer Kraft.</w:t>
      </w:r>
    </w:p>
    <w:p>
      <w:r>
        <w:t xml:space="preserve">Potsdam, den 7. Januar 1998</w:t>
      </w:r>
    </w:p>
    <w:p>
      <w:r>
        <w:t xml:space="preserve">Der Minister für Umwelt, Naturschutz und</w:t>
      </w:r>
    </w:p>
    <w:p>
      <w:r>
        <w:t xml:space="preserve">Raumordnung</w:t>
      </w:r>
    </w:p>
    <w:p>
      <w:r>
        <w:t xml:space="preserve">In Vertretung</w:t>
      </w:r>
    </w:p>
    <w:p>
      <w:r>
        <w:t xml:space="preserve">Rainer Speer</w:t>
      </w:r>
    </w:p>
    <w:p>
      <w:r>
        <w:rPr>
          <w:color w:val="555555"/>
          <w:sz w:val="17"/>
        </w:rPr>
        <w:t xml:space="preserve">Zitiervorschlag: § 11 VO-ID212854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https://recht.nulegal.eu/gesetze/VO-ID212854/11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