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VO-ID212854 (Brandenburg) — Erklärung zum Schutzgebiet</w:t>
      </w:r>
    </w:p>
    <w:p>
      <w:r>
        <w:rPr>
          <w:color w:val="555555"/>
          <w:sz w:val="18"/>
        </w:rPr>
        <w:t xml:space="preserve">Verordnung über das Landschaftsschutzgebiet „Nauen-Brieselang-Krämer“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</w:t>
      </w:r>
    </w:p>
    <w:p>
      <w:r>
        <w:t xml:space="preserve">Flächen im Landkreis Havelland und im Landkreis Oberhavel werden als</w:t>
      </w:r>
    </w:p>
    <w:p>
      <w:r>
        <w:t xml:space="preserve">Landschaftsschutzgebiet festgesetzt. Das Landschaftsschutzgebiet trägt die</w:t>
      </w:r>
    </w:p>
    <w:p>
      <w:r>
        <w:t xml:space="preserve">Bezeichnung "Nauen-Brieselang-Krämer".</w:t>
      </w:r>
    </w:p>
    <w:p>
      <w:r>
        <w:rPr>
          <w:color w:val="555555"/>
          <w:sz w:val="17"/>
        </w:rPr>
        <w:t xml:space="preserve">Zitiervorschlag: § 1 VO-ID212854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VO-ID212854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