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VO-ID212853 (Brandenburg) — Pflege- und Entwicklungsmaßnahmen</w:t>
      </w:r>
    </w:p>
    <w:p>
      <w:r>
        <w:rPr>
          <w:color w:val="555555"/>
          <w:sz w:val="18"/>
        </w:rPr>
        <w:t xml:space="preserve">Verordnung über das Landschaftsschutzgebiet „Westhavelland“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Es werden folgende Pflege- und Entwicklungsmaßnahmen als Zielvorgabe festgelegt:</w:t>
      </w:r>
    </w:p>
    <w:p>
      <w:r>
        <w:t xml:space="preserve">die Fließgewässer möglichst naturnah zu gestalten;</w:t>
      </w:r>
    </w:p>
    <w:p>
      <w:r>
        <w:t xml:space="preserve">die Oberflächen- und Grundwasserqualität zu verbessern, indem die Einträge schädigender oder eutrophierender Stoffe minimiert werden;</w:t>
      </w:r>
    </w:p>
    <w:p>
      <w:r>
        <w:t xml:space="preserve">in allen Bauleitplanungen, die den ländlichen Raum betreffen, die typischen dörflichen Strukturen zur Planungsbasis und Zielorientierung anzusetzen;</w:t>
      </w:r>
    </w:p>
    <w:p>
      <w:r>
        <w:t xml:space="preserve">das Grünland möglichst offenzuhalten;</w:t>
      </w:r>
    </w:p>
    <w:p>
      <w:r>
        <w:t xml:space="preserve">Trockenrasen durch periodische Gehölzauflichtungen und Entbuschungen zu erhalten;</w:t>
      </w:r>
    </w:p>
    <w:p>
      <w:r>
        <w:t xml:space="preserve">den naturverträglichen und naturorientierten Tourismus durch geeignete Lenkungsmaßnahmen und Einrichtungen zu sichern und zu entwickeln;</w:t>
      </w:r>
    </w:p>
    <w:p>
      <w:r>
        <w:t xml:space="preserve">das Landschaftsbild störende Einflüsse durch Bauwerke in der freien Landschaft durch Verlagerung, Eingrünung oder andere Maßnahmen möglichst zu minimieren oder abzustellen;</w:t>
      </w:r>
    </w:p>
    <w:p>
      <w:r>
        <w:t xml:space="preserve">auf den Anbau fremdländischer Baumarten nach Möglichkeit zu verzichten;</w:t>
      </w:r>
    </w:p>
    <w:p>
      <w:r>
        <w:t xml:space="preserve">die ausgeräumten Landschaftsteile durch Neuanpflanzung von naturraumheimischen und landschaftstypischen Feldgehölzen und Solitären reicher zu strukturieren.</w:t>
      </w:r>
    </w:p>
    <w:p>
      <w:r>
        <w:rPr>
          <w:color w:val="555555"/>
          <w:sz w:val="17"/>
        </w:rPr>
        <w:t xml:space="preserve">Zitiervorschlag: § 6 VO-ID212853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https://recht.nulegal.eu/gesetze/VO-ID212853/6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