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VO-ID212853 (Brandenburg) — Zulässige Handlungen</w:t>
      </w:r>
    </w:p>
    <w:p>
      <w:r>
        <w:rPr>
          <w:color w:val="555555"/>
          <w:sz w:val="18"/>
        </w:rPr>
        <w:t xml:space="preserve">Verordnung über das Landschaftsschutzgebiet „Westhavelland“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Entgegen § 4 dieser Verordnung bleiben zulässig:</w:t>
      </w:r>
    </w:p>
    <w:p>
      <w:r>
        <w:t xml:space="preserve">die im Sinne des § 11 Abs. 2 des Brandenburgischen Naturschutzgesetzes ordnungsgemäße landwirtschaftliche Bodennutzung auf den rechtmäßig dafür genutzten Flächen mit der Maßgabe, dass § 4 Abs. 1 Nr. 1 und 2 gelten;</w:t>
      </w:r>
    </w:p>
    <w:p>
      <w:r>
        <w:t xml:space="preserve">die im Sinne des § 11 Abs. 3 des Brandenburgischen Naturschutzgesetzes ordnungsgemäße forstwirtschaftliche Bodennutzung auf den rechtmäßig dafür genutzten Flächen;</w:t>
      </w:r>
    </w:p>
    <w:p>
      <w:r>
        <w:t xml:space="preserve">für den Bereich der Jagd;</w:t>
      </w:r>
    </w:p>
    <w:p>
      <w:r>
        <w:t xml:space="preserve">die rechtmäßige Ausübung der Jagd,</w:t>
      </w:r>
    </w:p>
    <w:p>
      <w:r>
        <w:t xml:space="preserve">die Errichtung von Ansitzleitern und Kanzeln, soweit das charakteristische Landschaftsbild nicht beeinträchtigt wird und für diese nur Materialien verwendet werden, die sich in das Landschaftsbild einfügen;</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 mit der Maßgabe, daß Fanggeräte und Fangmittel so einzusetzen oder auszustatten sind, daß eine Gefährdung des Fischotters weitgehend ausgeschlossen ist;</w:t>
      </w:r>
    </w:p>
    <w:p>
      <w:r>
        <w:t xml:space="preserve">die ordnungsgemäße Unterhaltung der Gewässer im Benehmen mit der unteren Naturschutzbehörde und mit der Maßgabe, daß</w:t>
      </w:r>
    </w:p>
    <w:p>
      <w:r>
        <w:t xml:space="preserve">Maßnahmen zeitlich und räumlich derart durchzuführen sind, daß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w:t>
      </w:r>
    </w:p>
    <w:p>
      <w:r>
        <w:t xml:space="preserve">Der Herstellung des Benehmens bedarf es nicht, soweit es sich um unaufschiebbare Maßnahmen handelt;</w:t>
      </w:r>
    </w:p>
    <w:p>
      <w:r>
        <w:t xml:space="preserve">nach Inkrafttreten dieser Verordnung im Benehmen mit der unteren Naturschutzbehörde wasserrechtlich zugelassene Gewässernutzungen;</w:t>
      </w:r>
    </w:p>
    <w:p>
      <w:r>
        <w:t xml:space="preserve">die ordnungsgemäße Unterhaltung der rechtmäßig bestehenden Anlagen, einschließlich der dem öffentlich Verkehr gewidmeten Straßen und Wege im Benehmen mit der unteren Naturschutzbehörde. Der Herstellung des Benehmens bedarf es nicht, soweit es sich um unaufschiebbare Maßnahmen handelt;</w:t>
      </w:r>
    </w:p>
    <w:p>
      <w:r>
        <w:t xml:space="preserve">die Nachrüstung bestehender landwirtschaftlicher Anlagen, soweit sie nach dem Bundesimmissionsschutzgesetz bis zum 30. Juni 1999 erforderlich ist;</w:t>
      </w:r>
    </w:p>
    <w:p>
      <w:r>
        <w:t xml:space="preserve">Maßnahmen der Modernisierung, Instandsetzung sowie der notwendigen Anpassung der Infrastruktur an umweltgesetzliche Erfordernisse auf räumlich abgegrenzten landwirtschaftlichen Betriebsstandorten, die als solche im Liegenschaftskataster bezeichnet sind. Soweit diese Maßnahmen eine Errichtung bzw. Erweiterung von Baukörpern, die einer öffentlich-rechtlichen Genehmigung oder Anzeige bedürfen, darstellen, ist das Einvernehmen mit der unteren Naturschutzbehörde erforderlich;</w:t>
      </w:r>
    </w:p>
    <w:p>
      <w:r>
        <w:t xml:space="preserve">Handlungen nach § 4 Abs. 1 Nr. 2 in rechtmäßig bestehenden Baumschulen, Gärten, Friedhöfen, Park- und Gartenanlagen;</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zuständigen Naturschutzbehörde angeordnet worden sind;</w:t>
      </w:r>
    </w:p>
    <w:p>
      <w:r>
        <w:t xml:space="preserve">Maßnahmen zur Untersuchung von Altlast-Verdachtsflächen und Maßnahmen der Altlastensanierung im Benehmen mit der unteren Naturschutzbehörde. Der Herstellung des Benehmens bedarf es nicht, soweit es sich um unaufschiebbare Maßnahmen handelt;</w:t>
      </w:r>
    </w:p>
    <w:p>
      <w:r>
        <w:t xml:space="preserve">behördlich angeordnete oder zugelassene Beschilderungen;</w:t>
      </w:r>
    </w:p>
    <w:p>
      <w:r>
        <w:t xml:space="preserve">die Nutzung des Truppenübungsplatzes Klietz und des Standortübungsplatzes Brandenburg gemäß § 38 Abs. 1 Nr. 1 des Bundesnaturschutzgesetzes.</w:t>
      </w:r>
    </w:p>
    <w:p>
      <w:r>
        <w:rPr>
          <w:color w:val="555555"/>
          <w:sz w:val="17"/>
        </w:rPr>
        <w:t xml:space="preserve">Zitiervorschlag: § 5 VO-ID212853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https://recht.nulegal.eu/gesetze/VO-ID212853/5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