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VO-ID212853 (Brandenburg) — Schutzzweck</w:t>
      </w:r>
    </w:p>
    <w:p>
      <w:r>
        <w:rPr>
          <w:color w:val="555555"/>
          <w:sz w:val="18"/>
        </w:rPr>
        <w:t xml:space="preserve">Verordnung über das Landschaftsschutzgebiet „Westhavelland“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Erhaltung, Entwicklung oder Wiederherstellung der Leistungsfähigkeit des Naturhaushaltes, insbesondere</w:t>
      </w:r>
    </w:p>
    <w:p>
      <w:r>
        <w:t xml:space="preserve">durch den Erhalt von Niedermooren,</w:t>
      </w:r>
    </w:p>
    <w:p>
      <w:r>
        <w:t xml:space="preserve">in den periodisch überfluteten Niederungslandschaften,</w:t>
      </w:r>
    </w:p>
    <w:p>
      <w:r>
        <w:t xml:space="preserve">in den grundwassernahen Bereichen von Elb- und Havelauen,</w:t>
      </w:r>
    </w:p>
    <w:p>
      <w:r>
        <w:t xml:space="preserve">durch die Vernetzung von Biotopen durch Erhalt bzw. Neupflanzung von Strukturelementen in der Offenlandschaft, wie Feldgehölzen und Solitären,</w:t>
      </w:r>
    </w:p>
    <w:p>
      <w:r>
        <w:t xml:space="preserve">wegen der Bedeutung überwiegender Teile des Gebietes als Klimaausgleichs- und Frischluftentstehungsgebiet,</w:t>
      </w:r>
    </w:p>
    <w:p>
      <w:r>
        <w:t xml:space="preserve">durch den Schutz der Böden vor Überbauung, Degradierung, Abbau und Erosion;</w:t>
      </w:r>
    </w:p>
    <w:p>
      <w:r>
        <w:t xml:space="preserve">die Bewahrung der Vielfalt, Eigenart und Schönheit des Landschaftsbildes einer eiszeitlich und nacheiszeitlich geprägten, brandenburgtypischen Kulturlandschaft, insbesondere</w:t>
      </w:r>
    </w:p>
    <w:p>
      <w:r>
        <w:t xml:space="preserve">der Vielfalt von Strukturen aus glazial geformten Grund-, End- und Stauchmoränen sowie postglazial sedimentierten Talsand- und Elbauenlehmflächen, Dünen äolischer Herkunft und überwiegend in historischer Zeit gewachsener Niedermoore,</w:t>
      </w:r>
    </w:p>
    <w:p>
      <w:r>
        <w:t xml:space="preserve">der abwechslungsreichen Kulturlandschaft mit Gewässern, Grünland, Äckern und geschlossenen Waldungen,</w:t>
      </w:r>
    </w:p>
    <w:p>
      <w:r>
        <w:t xml:space="preserve">der unzersiedelt gebliebenen ländlichen Räume,</w:t>
      </w:r>
    </w:p>
    <w:p>
      <w:r>
        <w:t xml:space="preserve">der Still- und Fließgewässer,</w:t>
      </w:r>
    </w:p>
    <w:p>
      <w:r>
        <w:t xml:space="preserve">der in § 2 Abs. 1 genannten, überwiegend land- und forstwirtschaftlich genutzten Ländchen;</w:t>
      </w:r>
    </w:p>
    <w:p>
      <w:r>
        <w:t xml:space="preserve">die Erhaltung und Entwicklung des Gebietes wegen seiner besonderen Bedeutung für die naturverträgliche und naturorientierte Erholung unter anderem im Einzugsbereich von Berlin und Brandenburg.</w:t>
      </w:r>
    </w:p>
    <w:p>
      <w:r>
        <w:rPr>
          <w:color w:val="555555"/>
          <w:sz w:val="17"/>
        </w:rPr>
        <w:t xml:space="preserve">Zitiervorschlag: § 3 VO-ID212853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