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VO-ID212852 (Brandenburg) — Pflege-, Entwicklungs- und Wiederherstellungsmaßnahmen</w:t>
      </w:r>
    </w:p>
    <w:p>
      <w:r>
        <w:rPr>
          <w:color w:val="555555"/>
          <w:sz w:val="18"/>
        </w:rPr>
        <w:t xml:space="preserve">Verordnung über das Landschaftsschutzgebiet „Müggelspree-Löcknitzer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Es werden folgende Maßnahmen als Zielvorgabe für die Pflege,</w:t>
      </w:r>
    </w:p>
    <w:p>
      <w:r>
        <w:t xml:space="preserve">Entwicklung und Wiederherstellung des Gebietes benannt:</w:t>
      </w:r>
    </w:p>
    <w:p>
      <w:r>
        <w:t xml:space="preserve">es wird eine Umwandlung von Kiefern- und Pappelforsten in standortgerechte</w:t>
      </w:r>
    </w:p>
    <w:p>
      <w:r>
        <w:t xml:space="preserve">und strukturreiche Bestände im Sinne der in § 3 genannten Laubwald-</w:t>
      </w:r>
    </w:p>
    <w:p>
      <w:r>
        <w:t xml:space="preserve">und Mischwaldbestände angestrebt;</w:t>
      </w:r>
    </w:p>
    <w:p>
      <w:r>
        <w:t xml:space="preserve">überhöhte Reh- und Rotwildbestände sollen auf ein am</w:t>
      </w:r>
    </w:p>
    <w:p>
      <w:r>
        <w:t xml:space="preserve">Schutzzweck orientiertes Maß reduziert werden;</w:t>
      </w:r>
    </w:p>
    <w:p>
      <w:r>
        <w:t xml:space="preserve">besonders im Bereich des Spreenhagener Dünenbogens und der</w:t>
      </w:r>
    </w:p>
    <w:p>
      <w:r>
        <w:t xml:space="preserve">Niederlehmer Sandberge sollen Trockenlebensräume gefördert werden.</w:t>
      </w:r>
    </w:p>
    <w:p>
      <w:r>
        <w:t xml:space="preserve">Dazu sollen Forste vorzugsweise an südexponierten Hängen aufgelichtet</w:t>
      </w:r>
    </w:p>
    <w:p>
      <w:r>
        <w:t xml:space="preserve">und kleinere Offenflächen geschaffen werden;</w:t>
      </w:r>
    </w:p>
    <w:p>
      <w:r>
        <w:t xml:space="preserve">die Müggelspree soll durch Rückbau von Ufersicherungen und</w:t>
      </w:r>
    </w:p>
    <w:p>
      <w:r>
        <w:t xml:space="preserve">Verwallungen, Anhebung der Gewässersohle sowie durch Reaktivierung von</w:t>
      </w:r>
    </w:p>
    <w:p>
      <w:r>
        <w:t xml:space="preserve">Altarmen zu einem naturnahen Tieflandfluss entwickelt werden;</w:t>
      </w:r>
    </w:p>
    <w:p>
      <w:r>
        <w:t xml:space="preserve">es sollen Gewässerrandstreifen angelegt werden;</w:t>
      </w:r>
    </w:p>
    <w:p>
      <w:r>
        <w:t xml:space="preserve">die biologische Durchgängigkeit der Fließgewässer soll</w:t>
      </w:r>
    </w:p>
    <w:p>
      <w:r>
        <w:t xml:space="preserve">durch Aufstiegsanlagen und ökologisch gestalteten Anschluss der</w:t>
      </w:r>
    </w:p>
    <w:p>
      <w:r>
        <w:t xml:space="preserve">Nebengewässer sichergestellt werden;</w:t>
      </w:r>
    </w:p>
    <w:p>
      <w:r>
        <w:t xml:space="preserve">die Niedermoore sollen durch möglichst geringe</w:t>
      </w:r>
    </w:p>
    <w:p>
      <w:r>
        <w:t xml:space="preserve">Grundwasserflurabstände stabilisiert werden;</w:t>
      </w:r>
    </w:p>
    <w:p>
      <w:r>
        <w:t xml:space="preserve">Quellbereiche und Ufer entlang der Grünheide-Kageler Seenkette sowie</w:t>
      </w:r>
    </w:p>
    <w:p>
      <w:r>
        <w:t xml:space="preserve">Brutstätten störungsempfindlicher Arten sollen durch Besucherlenkung</w:t>
      </w:r>
    </w:p>
    <w:p>
      <w:r>
        <w:t xml:space="preserve">gesichert werden;</w:t>
      </w:r>
    </w:p>
    <w:p>
      <w:r>
        <w:t xml:space="preserve">das Grünland der Niederungen soll extensiv bewirtschaftet werden;</w:t>
      </w:r>
    </w:p>
    <w:p>
      <w:r>
        <w:t xml:space="preserve">Landschaftselemente wie Streuobstwiesen, Feldgehölze, Hecken,</w:t>
      </w:r>
    </w:p>
    <w:p>
      <w:r>
        <w:t xml:space="preserve">Kopfweiden, Baumreihen aus heimischen Gehölzen und andere für den</w:t>
      </w:r>
    </w:p>
    <w:p>
      <w:r>
        <w:t xml:space="preserve">Biotopverbund in der Offenlandschaft bedeutende Strukturelemente sollen</w:t>
      </w:r>
    </w:p>
    <w:p>
      <w:r>
        <w:t xml:space="preserve">gefördert werden;</w:t>
      </w:r>
    </w:p>
    <w:p>
      <w:r>
        <w:t xml:space="preserve">die landschaftsorientierte Erholungsnutzung soll durch geeignete</w:t>
      </w:r>
    </w:p>
    <w:p>
      <w:r>
        <w:t xml:space="preserve">Lenkungsmaßnahmen wie die gezielte Ausweisung von separaten Wander-, Rad-</w:t>
      </w:r>
    </w:p>
    <w:p>
      <w:r>
        <w:t xml:space="preserve">und Reitwegen sowie von geeigneten Rastplätzen gesichert werden;</w:t>
      </w:r>
    </w:p>
    <w:p>
      <w:r>
        <w:t xml:space="preserve">die Einbindung von Ortsrändern und Einzelbauwerken in die Landschaft</w:t>
      </w:r>
    </w:p>
    <w:p>
      <w:r>
        <w:t xml:space="preserve">soll durch geeignete Gehölzpflanzungen verbessert werden;</w:t>
      </w:r>
    </w:p>
    <w:p>
      <w:r>
        <w:t xml:space="preserve">nicht mehr benötigte landwirtschaftliche, militärische oder</w:t>
      </w:r>
    </w:p>
    <w:p>
      <w:r>
        <w:t xml:space="preserve">gewerbliche Anlagen sollen zurückgebaut werden.</w:t>
      </w:r>
    </w:p>
    <w:p>
      <w:r>
        <w:rPr>
          <w:color w:val="555555"/>
          <w:sz w:val="17"/>
        </w:rPr>
        <w:t xml:space="preserve">Zitiervorschlag: § 6 VO-ID212852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https://recht.nulegal.eu/gesetze/VO-ID212852/6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