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VO-ID212852 (Brandenburg) — Zulässige Handlungen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Entgegen § 4 bleiben zulässig:</w:t>
      </w:r>
    </w:p>
    <w:p>
      <w:r>
        <w:t xml:space="preserve">die den in § 1b Abs. 4 des Brandenburgischen Naturschutzgesetzes</w:t>
      </w:r>
    </w:p>
    <w:p>
      <w:r>
        <w:t xml:space="preserve">genannten Anforderungen und Grundsätzen entsprechende landwirtschaftliche</w:t>
      </w:r>
    </w:p>
    <w:p>
      <w:r>
        <w:t xml:space="preserve">Bodennutzung auf den bisher rechtmäßig dafür genutzten</w:t>
      </w:r>
    </w:p>
    <w:p>
      <w:r>
        <w:t xml:space="preserve">Flächen mit der Maßgabe, dass § 4 Abs. 1 Nr. 2 und 4 sowie</w:t>
      </w:r>
    </w:p>
    <w:p>
      <w:r>
        <w:t xml:space="preserve">§ 4 Abs. 2 Nr. 7 bis 9 gelten;</w:t>
      </w:r>
    </w:p>
    <w:p>
      <w:r>
        <w:t xml:space="preserve">die den in § 1b Abs. 5 des Brandenburgischen Naturschutzgesetzes</w:t>
      </w:r>
    </w:p>
    <w:p>
      <w:r>
        <w:t xml:space="preserve">genannten Anforderungen in Verbindung mit dem Waldgesetz des Landes Brandenburg</w:t>
      </w:r>
    </w:p>
    <w:p>
      <w:r>
        <w:t xml:space="preserve">entsprechende forstwirtschaftliche Bodennutzung auf den bisher</w:t>
      </w:r>
    </w:p>
    <w:p>
      <w:r>
        <w:t xml:space="preserve">rechtmäßig dafür genutzten Flächen mit der Maßgabe,</w:t>
      </w:r>
    </w:p>
    <w:p>
      <w:r>
        <w:t xml:space="preserve">dass § 4 Abs. 1 Nr. 2, 3 und 4 gilt;</w:t>
      </w:r>
    </w:p>
    <w:p>
      <w:r>
        <w:t xml:space="preserve">die rechtmäßige Ausübung der Jagd;</w:t>
      </w:r>
    </w:p>
    <w:p>
      <w:r>
        <w:t xml:space="preserve">die den in § 1b Abs. 6 des Brandenburgischen Naturschutzgesetzes</w:t>
      </w:r>
    </w:p>
    <w:p>
      <w:r>
        <w:t xml:space="preserve">genannten Anforderungen in Verbindung mit dem Fischereigesetz für das Land</w:t>
      </w:r>
    </w:p>
    <w:p>
      <w:r>
        <w:t xml:space="preserve">Brandenburg entsprechende fischereiwirtschaftliche Flächennutzung und die</w:t>
      </w:r>
    </w:p>
    <w:p>
      <w:r>
        <w:t xml:space="preserve">Angelfischerei auf den bisher rechtmäßig dafür genutzten</w:t>
      </w:r>
    </w:p>
    <w:p>
      <w:r>
        <w:t xml:space="preserve">Flächen mit der Maßgabe, dass</w:t>
      </w:r>
    </w:p>
    <w:p>
      <w:r>
        <w:t xml:space="preserve">§ 4 Abs. 1 Nr. 5 gilt, wobei für Fischereiberechtigte und</w:t>
      </w:r>
    </w:p>
    <w:p>
      <w:r>
        <w:t xml:space="preserve">Fischereiausübungsberechtigte das Betreten zum Zwecke des Einsetzens, der</w:t>
      </w:r>
    </w:p>
    <w:p>
      <w:r>
        <w:t xml:space="preserve">Kontrolle und des Entfernens von Fanggeräten und zur ökologisch</w:t>
      </w:r>
    </w:p>
    <w:p>
      <w:r>
        <w:t xml:space="preserve">verträglichen Nutzung abgestorbener Teile von Schilf und</w:t>
      </w:r>
    </w:p>
    <w:p>
      <w:r>
        <w:t xml:space="preserve">Rohrbeständen gemäß § 3 Abs. 1 Satz 2 des</w:t>
      </w:r>
    </w:p>
    <w:p>
      <w:r>
        <w:t xml:space="preserve">Fischereigesetzes für das Land Brandenburg gestattet bleibt,</w:t>
      </w:r>
    </w:p>
    <w:p>
      <w:r>
        <w:t xml:space="preserve">Fanggeräte und Fangmittel so einzusetzen oder auszustatten sind, dass</w:t>
      </w:r>
    </w:p>
    <w:p>
      <w:r>
        <w:t xml:space="preserve">ein Einschwimmen und eine Gefährdung des Fischotters weitgehend</w:t>
      </w:r>
    </w:p>
    <w:p>
      <w:r>
        <w:t xml:space="preserve">ausgeschlossen sind;</w:t>
      </w:r>
    </w:p>
    <w:p>
      <w:r>
        <w:t xml:space="preserve">die ordnungsgemäße Unterhaltung der Gewässer im Benehmen</w:t>
      </w:r>
    </w:p>
    <w:p>
      <w:r>
        <w:t xml:space="preserve">mit der zuständigen unteren Naturschutzbehörde und mit der</w:t>
      </w:r>
    </w:p>
    <w:p>
      <w:r>
        <w:t xml:space="preserve">Maßgabe, dass</w:t>
      </w:r>
    </w:p>
    <w:p>
      <w:r>
        <w:t xml:space="preserve">Maßnahmen zeitlich und räumlich derart durchzuführen sind,</w:t>
      </w:r>
    </w:p>
    <w:p>
      <w:r>
        <w:t xml:space="preserve">dass ein vielfältiger und standortgerechter Pflanzen- und Tierbestand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ingenieurbiologische Methoden verwendet werden,</w:t>
      </w:r>
    </w:p>
    <w:p>
      <w:r>
        <w:t xml:space="preserve">keine Pflanzenschutzmittel verwendet werden;</w:t>
      </w:r>
    </w:p>
    <w:p>
      <w:r>
        <w:t xml:space="preserve">die bestimmungsgemäße Nutzung der Bundeswasserstraßen;</w:t>
      </w:r>
    </w:p>
    <w:p>
      <w:r>
        <w:t xml:space="preserve">nach Inkrafttreten dieser Verordnung im Benehmen mit der unteren</w:t>
      </w:r>
    </w:p>
    <w:p>
      <w:r>
        <w:t xml:space="preserve">Naturschutzbehörde wasserrechtlich zugelassene Gewässerbenutzungen;</w:t>
      </w:r>
    </w:p>
    <w:p>
      <w:r>
        <w:t xml:space="preserve">die Anlage und Änderung von Straßen und Wegen im Rahmen von</w:t>
      </w:r>
    </w:p>
    <w:p>
      <w:r>
        <w:t xml:space="preserve">Bodenordnungs- oder Flurneuordnungsverfahren im Einvernehmen mit der</w:t>
      </w:r>
    </w:p>
    <w:p>
      <w:r>
        <w:t xml:space="preserve">gemäß § 17 Abs. 2 des Brandenburgischen Naturschutzgesetzes</w:t>
      </w:r>
    </w:p>
    <w:p>
      <w:r>
        <w:t xml:space="preserve">zuständigen Naturschutzbehörde sowie die ordnungsgemäße</w:t>
      </w:r>
    </w:p>
    <w:p>
      <w:r>
        <w:t xml:space="preserve">Unterhaltung der rechtmäßig bestehenden Anlagen einschließlich</w:t>
      </w:r>
    </w:p>
    <w:p>
      <w:r>
        <w:t xml:space="preserve">der dem öffentlichen Verkehr gewidmeten Straßen und Wege sowie der</w:t>
      </w:r>
    </w:p>
    <w:p>
      <w:r>
        <w:t xml:space="preserve">Bundeswasserstraßen im Benehmen mit der unteren Naturschutzbehörde;</w:t>
      </w:r>
    </w:p>
    <w:p>
      <w:r>
        <w:t xml:space="preserve">Maßnahmen der Modernisierung, Instandsetzung sowie der notwendigen</w:t>
      </w:r>
    </w:p>
    <w:p>
      <w:r>
        <w:t xml:space="preserve">Anpassung der Infrastruktur an umweltrechtliche Erfordernisse auf räumlich</w:t>
      </w:r>
    </w:p>
    <w:p>
      <w:r>
        <w:t xml:space="preserve">abgegrenzten landwirtschaftlichen Betriebsstandorten, die als solche im</w:t>
      </w:r>
    </w:p>
    <w:p>
      <w:r>
        <w:t xml:space="preserve">Liegenschaftskataster bezeichnet sind. Soweit diese Maßnahmen eine</w:t>
      </w:r>
    </w:p>
    <w:p>
      <w:r>
        <w:t xml:space="preserve">Errichtung beziehungsweise Erweiterung von Baukörpern, die einer</w:t>
      </w:r>
    </w:p>
    <w:p>
      <w:r>
        <w:t xml:space="preserve">öffentlich-rechtlichen Genehmigung oder Anzeige bedürfen, darstellen,</w:t>
      </w:r>
    </w:p>
    <w:p>
      <w:r>
        <w:t xml:space="preserve">ist das Einvernehmen mit der unteren Naturschutzbehörde erforderlich;</w:t>
      </w:r>
    </w:p>
    <w:p>
      <w:r>
        <w:t xml:space="preserve">Handlungen nach § 4 Abs. 1 Nr. 4 und Abs. 2 Nr. 9 in</w:t>
      </w:r>
    </w:p>
    <w:p>
      <w:r>
        <w:t xml:space="preserve">rechtmäßig bestehenden Baumschulen, Gärten, Friedhöfen,</w:t>
      </w:r>
    </w:p>
    <w:p>
      <w:r>
        <w:t xml:space="preserve">Park- und Gartenanlagen;</w:t>
      </w:r>
    </w:p>
    <w:p>
      <w:r>
        <w:t xml:space="preserve">die sonstigen bei Inkrafttreten dieser Verordnung auf 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der Abbau von Bodenbestandteilen auf der Grundlage des bergrechtlichen</w:t>
      </w:r>
    </w:p>
    <w:p>
      <w:r>
        <w:t xml:space="preserve">Planfeststellungsbeschlusses zum „Sandtagebau Niederlehme –</w:t>
      </w:r>
    </w:p>
    <w:p>
      <w:r>
        <w:t xml:space="preserve">Inanspruchnahme Teilfeld VI“;</w:t>
      </w:r>
    </w:p>
    <w:p>
      <w:r>
        <w:t xml:space="preserve">Schutz-, Pflege-, Entwicklungs- und Wiederherstellungsmaßnahmen, die</w:t>
      </w:r>
    </w:p>
    <w:p>
      <w:r>
        <w:t xml:space="preserve">von der zuständigen Naturschutzbehörde zugelassen oder angeordnet</w:t>
      </w:r>
    </w:p>
    <w:p>
      <w:r>
        <w:t xml:space="preserve">worden sind;</w:t>
      </w:r>
    </w:p>
    <w:p>
      <w:r>
        <w:t xml:space="preserve">Maßnahmen zur Untersuchung von Altlastenflächen und</w:t>
      </w:r>
    </w:p>
    <w:p>
      <w:r>
        <w:t xml:space="preserve">Altlastenverdachtsflächen sowie Maßnahmen der Altlastensanierung und</w:t>
      </w:r>
    </w:p>
    <w:p>
      <w:r>
        <w:t xml:space="preserve">der Sanierung schädlicher Bodenveränderungen gemäß</w:t>
      </w:r>
    </w:p>
    <w:p>
      <w:r>
        <w:t xml:space="preserve">Bundes-Bodenschutzgesetz sowie Maßnahmen der Munitionsräumung im</w:t>
      </w:r>
    </w:p>
    <w:p>
      <w:r>
        <w:t xml:space="preserve">Benehmen mit der unteren Naturschutzbehörde;</w:t>
      </w:r>
    </w:p>
    <w:p>
      <w:r>
        <w:t xml:space="preserve">behördliche sowie behördlich angeordnete oder zugelassene</w:t>
      </w:r>
    </w:p>
    <w:p>
      <w:r>
        <w:t xml:space="preserve">Beschilderungen, soweit sie auf den Schutzzweck des Gebietes hinweisen oder als</w:t>
      </w:r>
    </w:p>
    <w:p>
      <w:r>
        <w:t xml:space="preserve">hoheitliche Kennzeichnungen, Orts- oder Verkehrshinweise, Wegemarkierungen oder</w:t>
      </w:r>
    </w:p>
    <w:p>
      <w:r>
        <w:t xml:space="preserve">Warntafeln dienen. Darüber hinaus sind nichtamtliche Hinweisschilder im</w:t>
      </w:r>
    </w:p>
    <w:p>
      <w:r>
        <w:t xml:space="preserve">Sinne der Richtlinie des Ministeriums für Stadtentwicklung, Wohnen und</w:t>
      </w:r>
    </w:p>
    <w:p>
      <w:r>
        <w:t xml:space="preserve">Verkehr zur Aufstellung nichtamtlicher Hinweisschilder an den Bundes-, Landes-</w:t>
      </w:r>
    </w:p>
    <w:p>
      <w:r>
        <w:t xml:space="preserve">und Kreisstraßen im Land Brandenburg vom 15. August 1997 an Straßen</w:t>
      </w:r>
    </w:p>
    <w:p>
      <w:r>
        <w:t xml:space="preserve">und Wegen freigestellt;</w:t>
      </w:r>
    </w:p>
    <w:p>
      <w:r>
        <w:t xml:space="preserve">Maßnahmen, die der Abwehr einer unmittelbar drohenden Gefahr</w:t>
      </w:r>
    </w:p>
    <w:p>
      <w:r>
        <w:t xml:space="preserve">für die öffentliche Sicherheit und Ordnung dienen. Die untere</w:t>
      </w:r>
    </w:p>
    <w:p>
      <w:r>
        <w:t xml:space="preserve">Naturschutzbehörde ist über die getroffenen Maßnahmen</w:t>
      </w:r>
    </w:p>
    <w:p>
      <w:r>
        <w:t xml:space="preserve">unverzüglich zu unterrichten. Sie kann nachträglich ergänzende</w:t>
      </w:r>
    </w:p>
    <w:p>
      <w:r>
        <w:t xml:space="preserve">Anordnungen zur Vereinbarkeit mit dem Schutzzweck treffen.</w:t>
      </w:r>
    </w:p>
    <w:p>
      <w:r>
        <w:t xml:space="preserve">(2) Die in § 4 Abs. 1 Nr. 5 für das Betreten und Befahren des</w:t>
      </w:r>
    </w:p>
    <w:p>
      <w:r>
        <w:t xml:space="preserve">Landschaftsschutzgebietes enthaltenen Einschränkungen gelten nicht</w:t>
      </w:r>
    </w:p>
    <w:p>
      <w:r>
        <w:t xml:space="preserve">für Dienstkräfte der Naturschutzbehörden, die zuständigen</w:t>
      </w:r>
    </w:p>
    <w:p>
      <w:r>
        <w:t xml:space="preserve">Naturschutzhelfer und sonstige von den Naturschutzbehörden beauftragte</w:t>
      </w:r>
    </w:p>
    <w:p>
      <w:r>
        <w:t xml:space="preserve">Personen sowie für Dienstkräfte und beauftragte Personen anderer</w:t>
      </w:r>
    </w:p>
    <w:p>
      <w:r>
        <w:t xml:space="preserve">zuständiger Behörden und Einrichtungen, soweit diese in Wahrnehmung</w:t>
      </w:r>
    </w:p>
    <w:p>
      <w:r>
        <w:t xml:space="preserve">ihrer gesetzlichen Aufgaben handeln.</w:t>
      </w:r>
    </w:p>
    <w:p>
      <w:r>
        <w:rPr>
          <w:color w:val="555555"/>
          <w:sz w:val="17"/>
        </w:rPr>
        <w:t xml:space="preserve">Zitiervorschlag: § 5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