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VO-ID212852 (Brandenburg) — Erklärung zum Schutzgebiet</w:t>
      </w:r>
    </w:p>
    <w:p>
      <w:r>
        <w:rPr>
          <w:color w:val="555555"/>
          <w:sz w:val="18"/>
        </w:rPr>
        <w:t xml:space="preserve">Verordnung über das Landschaftsschutzgebiet „Müggelspree-Löcknitzer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in den Landkreisen</w:t>
      </w:r>
    </w:p>
    <w:p>
      <w:r>
        <w:t xml:space="preserve">Dahme-Spreewald, Oder-Spree und Märkisch-Oderland wird als</w:t>
      </w:r>
    </w:p>
    <w:p>
      <w:r>
        <w:t xml:space="preserve">Landschaftsschutzgebiet festgesetzt. Das Landschaftsschutzgebiet trägt die</w:t>
      </w:r>
    </w:p>
    <w:p>
      <w:r>
        <w:t xml:space="preserve">Bezeichnung „Müggelspree-Löcknitzer Wald- und Seengebiet“.</w:t>
      </w:r>
    </w:p>
    <w:p>
      <w:r>
        <w:rPr>
          <w:color w:val="555555"/>
          <w:sz w:val="17"/>
        </w:rPr>
        <w:t xml:space="preserve">Zitiervorschlag: § 1 VO-ID212852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