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VO-ID212851 (Brandenburg) — Schutzzweck</w:t>
      </w:r>
    </w:p>
    <w:p>
      <w:r>
        <w:rPr>
          <w:color w:val="555555"/>
          <w:sz w:val="18"/>
        </w:rPr>
        <w:t xml:space="preserve">Verordnung über das Landschaftsschutzgebiet „Scharmützelseegebiet“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und Entwicklung oder Wiederherstellung der Leistungsfähigkeit des Naturhaushaltes, insbesondere</w:t>
      </w:r>
    </w:p>
    <w:p>
      <w:r>
        <w:t xml:space="preserve">der Funktionsfähigkeit der Böden durch Sicherung und Förderung der natürlichen Vielfalt der Bodeneigenschaften, der Schutz des Bodens vor Bebauung, Verdichtung, Erosion und vor Abbau,</w:t>
      </w:r>
    </w:p>
    <w:p>
      <w:r>
        <w:t xml:space="preserve">der Funktionsfähigkeit des Wasserhaushaltes, insbesondere der Quell-, Stand- und Fließgewässer, Uferbereiche, Verlandungszonen sowie verschiedener Moortypen und eines lokal bedeutsamen Wassereinzugs- und Grundwasserneubildungsgebietes,</w:t>
      </w:r>
    </w:p>
    <w:p>
      <w:r>
        <w:t xml:space="preserve">der Reinhaltung der Luft sowie der Stabilisierung des Lokalklimas,</w:t>
      </w:r>
    </w:p>
    <w:p>
      <w:r>
        <w:t xml:space="preserve">der seltenen, gefährdeten und charakteristischen Lebensräume wie Röhrichte, Feuchtwiesen, Moore, Laubmisch- und Bruchwälder als wesentliche Bestandteile des Naturhaushaltes,</w:t>
      </w:r>
    </w:p>
    <w:p>
      <w:r>
        <w:t xml:space="preserve">eines landschaftsübergreifenden Biotopverbundes, insbesondere der zusammenhängenden Seen, der kleinen Fließgewässer und des Storkower Kanals, für das Vorkommen des Fischotters,</w:t>
      </w:r>
    </w:p>
    <w:p>
      <w:r>
        <w:t xml:space="preserve">der Pufferfunktion für die im Gebiet liegenden Naturschutzgebiete, Geschützten Landschaftsbestandteile, Naturdenkmäler und Gebiete des Schutzgebietssystems Natura 2000;</w:t>
      </w:r>
    </w:p>
    <w:p>
      <w:r>
        <w:t xml:space="preserve">die Bewahrung der Vielfalt, Eigenart und Schönheit des Landschaftsbildes, insbesondere</w:t>
      </w:r>
    </w:p>
    <w:p>
      <w:r>
        <w:t xml:space="preserve">der eiszeitlich geprägten Moränenlandschaft mit reliefstarken, zum Teil feinteilig gegliederten Hügeln der Stauch- und Endmoränen sowie den reliefschwächeren Erhebungen und Senken der Grundmoränen, Seen, Fließgewässern, Mooren, Anmooren, Talsanden, Söllen, Dünen und Trockentälern,</w:t>
      </w:r>
    </w:p>
    <w:p>
      <w:r>
        <w:t xml:space="preserve">des in weiten Teilen unzerschnittenen und unverbauten Gebietes mit den Seen und ihren Randbereichen, dem bewaldeten Norden, der kleinteilig gegliederten Feld- und Waldflur östlich des Scharmützelsees und der offenen, reich gegliederten Feldflur zwischen Scharmützelsee und Großem Storkower See,</w:t>
      </w:r>
    </w:p>
    <w:p>
      <w:r>
        <w:t xml:space="preserve">der prägenden Landschaftselemente und deren Verteilung, wie Wälder und deren Ränder, Äcker, Grünländer, Feldgehölze, Alleen, Kopfsteinpflasterstraßen, Lesesteinhaufen und Solitärbäume,</w:t>
      </w:r>
    </w:p>
    <w:p>
      <w:r>
        <w:t xml:space="preserve">der Erhalt der gliedernden Grünkorridore zwischen den einzelnen Siedlungskörpern sowie der besonderen Eigenart der weiträumig gestreuten Siedlungsstruktur von Neu Reichenwalde;</w:t>
      </w:r>
    </w:p>
    <w:p>
      <w:r>
        <w:t xml:space="preserve">die Erhaltung und Entwicklung des Gebietes wegen seiner besonderen Bedeutung für die landschaftsbezogene Erholung, insbesondere für das Wandern, das Rad- und Wasserwandern unter Einbeziehung der dörflichen Infrastruktur.</w:t>
      </w:r>
    </w:p>
    <w:p>
      <w:r>
        <w:rPr>
          <w:color w:val="555555"/>
          <w:sz w:val="17"/>
        </w:rPr>
        <w:t xml:space="preserve">Zitiervorschlag: § 3 VO-ID212851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