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11 VO-ID212851 (Brandenburg) — In-Kraft-Treten, Außer-Kraft-Treten</w:t>
      </w:r>
    </w:p>
    <w:p>
      <w:r>
        <w:rPr>
          <w:color w:val="555555"/>
          <w:sz w:val="18"/>
        </w:rPr>
        <w:t xml:space="preserve">Verordnung über das Landschaftsschutzgebiet „Scharmützelseegebiet“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(1) Diese Verordnung tritt am Tage nach der Verkündung in Kraft.</w:t>
      </w:r>
    </w:p>
    <w:p>
      <w:r>
        <w:t xml:space="preserve">(2) Gleichzeitig tritt außer Kraft:</w:t>
      </w:r>
    </w:p>
    <w:p>
      <w:r>
        <w:t xml:space="preserve">Der Beschluss Nr. 7-1/65 des Rates des Bezirkes Frankfurt (Oder) vom 12. Januar 1965 über die Erklärung zum Landschaftsschutzgebiet „Scharmützel See, Storkower See, Schwenower Forst“, soweit dieser nicht bereits durch In-Kraft-Treten der Verordnung zum Landschaftsschutzgebiet „Dahme-Heideseen“ vom 11. Juni 1998 (GVBl. II S. 454) aufgehoben wurde.</w:t>
      </w:r>
    </w:p>
    <w:p>
      <w:r>
        <w:rPr>
          <w:color w:val="555555"/>
          <w:sz w:val="17"/>
        </w:rPr>
        <w:t xml:space="preserve">Zitiervorschlag: § 11 VO-ID212851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https://recht.nulegal.eu/gesetze/VO-ID212851/11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landesrecht.brandenburg.de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11 VO-ID212851 (Brandenburg)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