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VO-ID212850 (Brandenburg) — Befreiungen</w:t>
      </w:r>
    </w:p>
    <w:p>
      <w:r>
        <w:rPr>
          <w:color w:val="555555"/>
          <w:sz w:val="18"/>
        </w:rPr>
        <w:t xml:space="preserve">Verordnung über das Landschaftsschutzgebiet „Brandenburger Osthavelniederung“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den Verboten dieser Verordnung kann die untere</w:t>
      </w:r>
    </w:p>
    <w:p>
      <w:r>
        <w:t xml:space="preserve">Naturschutzbehörde auf Antrag gemäß § 72 des</w:t>
      </w:r>
    </w:p>
    <w:p>
      <w:r>
        <w:t xml:space="preserve">Brandenburgischen Naturschutzgesetzes Befreiung gewähren. Dies gilt auch</w:t>
      </w:r>
    </w:p>
    <w:p>
      <w:r>
        <w:t xml:space="preserve">im Falle der Versagung einer Genehmigung nach § 4 Abs. 2 und 3.</w:t>
      </w:r>
    </w:p>
    <w:p>
      <w:r>
        <w:rPr>
          <w:color w:val="555555"/>
          <w:sz w:val="17"/>
        </w:rPr>
        <w:t xml:space="preserve">Zitiervorschlag: § 7 VO-ID212850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https://recht.nulegal.eu/gesetze/VO-ID212850/7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