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VO-ID212850 (Brandenburg) — Pflege- und Entwicklungsmaßnahmen</w:t>
      </w:r>
    </w:p>
    <w:p>
      <w:r>
        <w:rPr>
          <w:color w:val="555555"/>
          <w:sz w:val="18"/>
        </w:rPr>
        <w:t xml:space="preserve">Verordnung über das Landschaftsschutzgebiet „Brandenburger Osthavelniederung“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Es werden folgende Pflege- und Entwicklungsmaßnahmen als</w:t>
      </w:r>
    </w:p>
    <w:p>
      <w:r>
        <w:t xml:space="preserve">Zielvorgabe festgelegt:</w:t>
      </w:r>
    </w:p>
    <w:p>
      <w:r>
        <w:t xml:space="preserve">es wird angestrebt, die natürlichen Gebietswasserverhältnisse zu</w:t>
      </w:r>
    </w:p>
    <w:p>
      <w:r>
        <w:t xml:space="preserve">erhalten und wo nötig wieder herzustellen; Verunreinigungen und</w:t>
      </w:r>
    </w:p>
    <w:p>
      <w:r>
        <w:t xml:space="preserve">Eutrophierungen der Gewässer sollen möglichst verhindert werden; das</w:t>
      </w:r>
    </w:p>
    <w:p>
      <w:r>
        <w:t xml:space="preserve">Regenerationsvermögen der Gewässer soll durch die Förderung</w:t>
      </w:r>
    </w:p>
    <w:p>
      <w:r>
        <w:t xml:space="preserve">einer standortgemäßen Ufervegetation verbessert werden;</w:t>
      </w:r>
    </w:p>
    <w:p>
      <w:r>
        <w:t xml:space="preserve">Feuchtwiesen und ihre Auflassungsstadien sollen in ihrer Artenvielfalt</w:t>
      </w:r>
    </w:p>
    <w:p>
      <w:r>
        <w:t xml:space="preserve">durch angepaßte, regelmäßige Pflege, insbesondere</w:t>
      </w:r>
    </w:p>
    <w:p>
      <w:r>
        <w:t xml:space="preserve">entsprechende Mahd oder Weideführung und Entbuschung entwickelt werden;</w:t>
      </w:r>
    </w:p>
    <w:p>
      <w:r>
        <w:t xml:space="preserve">auf die Anwendung von Düngern und Pflanzenschutzmitteln ist nach</w:t>
      </w:r>
    </w:p>
    <w:p>
      <w:r>
        <w:t xml:space="preserve">Möglichkeit zu verzichten;</w:t>
      </w:r>
    </w:p>
    <w:p>
      <w:r>
        <w:t xml:space="preserve">Sand- und kontinentale Trockenrasen sollen durch periodische</w:t>
      </w:r>
    </w:p>
    <w:p>
      <w:r>
        <w:t xml:space="preserve">Pflegemaßnahmen erhalten werden;</w:t>
      </w:r>
    </w:p>
    <w:p>
      <w:r>
        <w:t xml:space="preserve">naturnahe Wälder sollen durch entsprechende Waldbaumaßnahmen</w:t>
      </w:r>
    </w:p>
    <w:p>
      <w:r>
        <w:t xml:space="preserve">erhalten werden, von der entsprechenden natürlichen Waldgesellschaft in</w:t>
      </w:r>
    </w:p>
    <w:p>
      <w:r>
        <w:t xml:space="preserve">ihrer Baumartenzusammensetzung erheblich abweichende Bestockungen sollen</w:t>
      </w:r>
    </w:p>
    <w:p>
      <w:r>
        <w:t xml:space="preserve">allmählich umgebaut werden;</w:t>
      </w:r>
    </w:p>
    <w:p>
      <w:r>
        <w:t xml:space="preserve">für die Sicherung der naturverträglichen Erholung sollen als</w:t>
      </w:r>
    </w:p>
    <w:p>
      <w:r>
        <w:t xml:space="preserve">geeignete Lenkungsmaßnahme Rad-, Wander- und Reitwege sowie</w:t>
      </w:r>
    </w:p>
    <w:p>
      <w:r>
        <w:t xml:space="preserve">Biwakplätze für Wasserwanderer unter Vermeidung zusätzlicher</w:t>
      </w:r>
    </w:p>
    <w:p>
      <w:r>
        <w:t xml:space="preserve">Versiegelung derart entwickelt werden, daß seltene oder gefährdete</w:t>
      </w:r>
    </w:p>
    <w:p>
      <w:r>
        <w:t xml:space="preserve">Arten und ihre Lebensräume möglichst unbeeinträchtigt bleiben;</w:t>
      </w:r>
    </w:p>
    <w:p>
      <w:r>
        <w:t xml:space="preserve">Freileitungen sollen aus landschaftsästhetischen Gründen und</w:t>
      </w:r>
    </w:p>
    <w:p>
      <w:r>
        <w:t xml:space="preserve">für den Vogelschutz gesichert oder verkabelt werden.</w:t>
      </w:r>
    </w:p>
    <w:p>
      <w:r>
        <w:rPr>
          <w:color w:val="555555"/>
          <w:sz w:val="17"/>
        </w:rPr>
        <w:t xml:space="preserve">Zitiervorschlag: § 6 VO-ID212850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https://recht.nulegal.eu/gesetze/VO-ID212850/6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