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VO-ID212850 (Brandenburg) — Inkrafttreten, Außerkrafttreten</w:t>
      </w:r>
    </w:p>
    <w:p>
      <w:r>
        <w:rPr>
          <w:color w:val="555555"/>
          <w:sz w:val="18"/>
        </w:rPr>
        <w:t xml:space="preserve">Verordnung über das Landschaftsschutzgebiet „Brandenburger Osthavelniederung“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 tritt am Tage nach ihrer Verkündung</w:t>
      </w:r>
    </w:p>
    <w:p>
      <w:r>
        <w:t xml:space="preserve">in Kraft.</w:t>
      </w:r>
    </w:p>
    <w:p>
      <w:r>
        <w:t xml:space="preserve">(2) Mit dem Inkrafttreten dieser Verordnung tritt die</w:t>
      </w:r>
    </w:p>
    <w:p>
      <w:r>
        <w:t xml:space="preserve">Verordnung über das Landschaftsschutzgebiet "Götzer Berge"</w:t>
      </w:r>
    </w:p>
    <w:p>
      <w:r>
        <w:t xml:space="preserve">des Rates des Bezirkes Potsdam vom 20. Juli 1966 außer Kraft.</w:t>
      </w:r>
    </w:p>
    <w:p>
      <w:r>
        <w:t xml:space="preserve">Potsdam, den 21. Juli 1998</w:t>
      </w:r>
    </w:p>
    <w:p>
      <w:r>
        <w:t xml:space="preserve">Der Minister für Umwelt, Naturschutz und</w:t>
      </w:r>
    </w:p>
    <w:p>
      <w:r>
        <w:t xml:space="preserve">Raumordnung</w:t>
      </w:r>
    </w:p>
    <w:p>
      <w:r>
        <w:t xml:space="preserve">Matthias Platzeck</w:t>
      </w:r>
    </w:p>
    <w:p>
      <w:r>
        <w:t xml:space="preserve">Anm.: Die Anlage 1 wurde nicht aufgenommen.</w:t>
      </w:r>
    </w:p>
    <w:p>
      <w:r>
        <w:rPr>
          <w:color w:val="555555"/>
          <w:sz w:val="17"/>
        </w:rPr>
        <w:t xml:space="preserve">Zitiervorschlag: § 11 VO-ID212850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https://recht.nulegal.eu/gesetze/VO-ID212850/11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