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VO-ID212850 (Brandenburg) — Erklärung zum Schutzgebiet</w:t>
      </w:r>
    </w:p>
    <w:p>
      <w:r>
        <w:rPr>
          <w:color w:val="555555"/>
          <w:sz w:val="18"/>
        </w:rPr>
        <w:t xml:space="preserve">Verordnung über das Landschaftsschutzgebiet „Brandenburger Osthavelniederung“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im</w:t>
      </w:r>
    </w:p>
    <w:p>
      <w:r>
        <w:t xml:space="preserve">Landkreis Potsdam-Mittelmark und in der kreisfreien Stadt Brandenburg an der</w:t>
      </w:r>
    </w:p>
    <w:p>
      <w:r>
        <w:t xml:space="preserve">Havel werden als Landschaftsschutzgebiet festgesetzt. Das</w:t>
      </w:r>
    </w:p>
    <w:p>
      <w:r>
        <w:t xml:space="preserve">Landschaftsschutzgebiet trägt die Bezeichnung "Brandenburger</w:t>
      </w:r>
    </w:p>
    <w:p>
      <w:r>
        <w:t xml:space="preserve">Osthavelniederung".</w:t>
      </w:r>
    </w:p>
    <w:p>
      <w:r>
        <w:rPr>
          <w:color w:val="555555"/>
          <w:sz w:val="17"/>
        </w:rPr>
        <w:t xml:space="preserve">Zitiervorschlag: § 1 VO-ID212850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https://recht.nulegal.eu/gesetze/VO-ID212850/1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