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VO-ID212849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„Potsdamer Wald- und Havelseengebiet“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als Zielvorgabe festgelegt:</w:t>
      </w:r>
    </w:p>
    <w:p>
      <w:r>
        <w:t xml:space="preserve">Hecken, Obstreihen, Streuobstflächen, Alleen, Kopfweiden, Feldgehölze, Einzelbäume, Lesesteinhaufen und andere Strukturelemente der Landschaft sind nach Möglichkeit durch Pflege und Neuanlage zu fördern;</w:t>
      </w:r>
    </w:p>
    <w:p>
      <w:r>
        <w:t xml:space="preserve">artenreiche Feuchtwiesen sollen durch zielgerichtete Entbuschungen, Mahd und Beweidung erhalten oder wiederhergestellt werden;</w:t>
      </w:r>
    </w:p>
    <w:p>
      <w:r>
        <w:t xml:space="preserve">naturnahe Offenflächen nährstoffarmer Standorte wie Trockenrasen und Sandfluren sollen durch Gehölzauflichtungen und Entbuschungen erhalten oder wiederhergestellt werden;</w:t>
      </w:r>
    </w:p>
    <w:p>
      <w:r>
        <w:t xml:space="preserve">Wege, Steganlagen und andere Einrichtungen sind so anzulegen, daß störungsempfindliche Lebensgemeinschaften und Arten mit großen Lebensraumansprüchen nicht beunruhigt oder in sonstiger Weise beeinträchtigt werden;</w:t>
      </w:r>
    </w:p>
    <w:p>
      <w:r>
        <w:t xml:space="preserve">für die Entwicklung der naturverträglichen Erholung ist durch geeignete Lenkungsmaßnahmen ein System von Rad-, Reit- und Wanderwegen sowie Badestellen im Einvernehmen mit der unteren Naturschutzbehörde zu entwickeln oder zu sichern, so daß seltene oder gefährdete Tier- und Pflanzenarten und ihre Lebensräume unbeeinträchtigt bleiben;</w:t>
      </w:r>
    </w:p>
    <w:p>
      <w:r>
        <w:t xml:space="preserve">Freileitungen sollen zum Schutz von Vogelarten und zur Aufwertung des Landschaftsbildes gesichert sowie nach Möglichkeit durch Erdverlegung ersetzt werden;</w:t>
      </w:r>
    </w:p>
    <w:p>
      <w:r>
        <w:t xml:space="preserve">naturnahe, strukturreiche Mischwälder mit naturraumheimischen und standortgerechten Baumarten sollen möglichst durch Naturverjüngung entwickelt werden;</w:t>
      </w:r>
    </w:p>
    <w:p>
      <w:r>
        <w:t xml:space="preserve">Ackerflächen auf Nieder- oder Anmoorstandorten sind möglichst kurzfristig in extensiv zu nutzendes Grünland umzuwandeln;</w:t>
      </w:r>
    </w:p>
    <w:p>
      <w:r>
        <w:t xml:space="preserve">auf landwirtschaftlichen Nutzflächen, insbesondere Feuchtgrünland, sind langfristig nachhaltige und besonders naturverträgliche Nutzungsformen einzuführen.</w:t>
      </w:r>
    </w:p>
    <w:p>
      <w:r>
        <w:rPr>
          <w:color w:val="555555"/>
          <w:sz w:val="17"/>
        </w:rPr>
        <w:t xml:space="preserve">Zitiervorschlag: § 6 VO-ID212849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https://recht.nulegal.eu/gesetze/VO-ID212849/6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