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VO-ID212849 (Brandenburg) — Verbote, Genehmigungsvorbehalte</w:t>
      </w:r>
    </w:p>
    <w:p>
      <w:r>
        <w:rPr>
          <w:color w:val="555555"/>
          <w:sz w:val="18"/>
        </w:rPr>
        <w:t xml:space="preserve">Verordnung über das Landschaftsschutzgebiet „Potsdamer Wald- und Havelseengebiet“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Trockenrasen, Zwergstrauch- und Wacholderheiden sowie offene Dünenstandorte nachteilig zu verändern, zu beschädigen oder zu zerstören;</w:t>
      </w:r>
    </w:p>
    <w:p>
      <w:r>
        <w:t xml:space="preserve">Grünland auf Niedermoorstandorten umzubrechen oder in anderer Weise zu beeinträchtigen;</w:t>
      </w:r>
    </w:p>
    <w:p>
      <w:r>
        <w:t xml:space="preserve">Bäume außerhalb des Waldes, Hecken, Gebüsche, Feld- oder Ufergehölze, Ufervegetation oder Schwimmblattgesellschaften sowie Findlinge oder Lesesteinhaufen zu verändern, zu beschädigen oder zu beseitigen.</w:t>
      </w:r>
    </w:p>
    <w:p>
      <w:r>
        <w:t xml:space="preserve">(2) Sonstige Handlungen, die geeignet sind, den Charakter des Gebietes zu verändern, den Naturhaushalt zu schädigen, das Landschaftsbild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oder Werbeanlagen aufzustellen oder anzubringen, ausgenommen zur saisonalen Direktvermarktung landwirtschaftlicher Produkte;</w:t>
      </w:r>
    </w:p>
    <w:p>
      <w:r>
        <w:t xml:space="preserve">außerhalb öffentlich-rechtlich zugelassener und gekennzeichneter Plätze sowie von Hausgärten Wohnwagen aufzustellen oder offene Feuerstätten zu errichten oder zu betreiben;</w:t>
      </w:r>
    </w:p>
    <w:p>
      <w:r>
        <w:t xml:space="preserve">Sportveranstaltungen mit motorbetriebenen Fahrzeugen durchzuführen;</w:t>
      </w:r>
    </w:p>
    <w:p>
      <w:r>
        <w:t xml:space="preserve">Grünland in eine andere Nutzungsart zu überführen;</w:t>
      </w:r>
    </w:p>
    <w:p>
      <w:r>
        <w:t xml:space="preserve">außerhalb des Waldes standortfremde oder landschaftsuntypische Gehölzpflanzungen vorzunehmen;</w:t>
      </w:r>
    </w:p>
    <w:p>
      <w:r>
        <w:t xml:space="preserve">Gewässer jeder Art entgegen dem Schutzzweck zu verändern oder Wasser aus Oberflächengewässern zu entnehmen, ausgenommen zur Bewässerung bei der obst- und gartenbaulichen Nutzung.</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 Bauleitplans, für die eine bauliche oder sonstige dem Schutzzweck widersprechende Nutzung dargestellt oder festgesetzt ist, sofern das für Naturschutz und Landschaftspflege zuständige Ministerium diesen Darstellungen oder Festsetzungen zugestimmt hat. Diese Flächen sind im Bauleitplan in geeignetem Maßstab kartografisch darzustellen.</w:t>
      </w:r>
    </w:p>
    <w:p>
      <w:r>
        <w:rPr>
          <w:color w:val="555555"/>
          <w:sz w:val="17"/>
        </w:rPr>
        <w:t xml:space="preserve">Zitiervorschlag: § 4 VO-ID212849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