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VO-ID212849 (Brandenburg) — Schutzzweck</w:t>
      </w:r>
    </w:p>
    <w:p>
      <w:r>
        <w:rPr>
          <w:color w:val="555555"/>
          <w:sz w:val="18"/>
        </w:rPr>
        <w:t xml:space="preserve">Verordnung über das Landschaftsschutzgebiet „Potsdamer Wald- und Havelseengebiet“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ist</w:t>
      </w:r>
    </w:p>
    <w:p>
      <w:r>
        <w:t xml:space="preserve">die Erhaltung und Wiederherstellung der Leistungsfähigkeit des Naturhaushaltes in bezug auf</w:t>
      </w:r>
    </w:p>
    <w:p>
      <w:r>
        <w:t xml:space="preserve">die Bodenfunktionen durch Sicherung und Förderung ihrer Filter-, Speicher- und Austauscheigenschaften und den Schutz des Bodens vor Überbauung, Abbau und Erosion,</w:t>
      </w:r>
    </w:p>
    <w:p>
      <w:r>
        <w:t xml:space="preserve">eine weitgehend ungestörte Grundwasserneubildung sowie eine naturnahe Ausbildung der Gewässer und deren Uferbereiche und Verlandungszonen,</w:t>
      </w:r>
    </w:p>
    <w:p>
      <w:r>
        <w:t xml:space="preserve">die Reinhaltung der Luft durch den Erhalt von siedlungsfreien Räumen für die Frischluftbildung,</w:t>
      </w:r>
    </w:p>
    <w:p>
      <w:r>
        <w:t xml:space="preserve">die großräumigen, strukturreichen und weitgehend ungestörten Lebensräume einer artenreichen, hierauf angewiesenen Tier- und Pflanzenwelt, insbesondere von bestandsbedrohten Säugetieren, Greif-, Schreit- und Wasservögeln,</w:t>
      </w:r>
    </w:p>
    <w:p>
      <w:r>
        <w:t xml:space="preserve">die vielfältigen, weitgehend kulturabhängigen Biotope und Landschaftselemente wie Feuchtgrünland, Trockenrasen, Ackerflächen, Hecken, Feldgehölze, Solitärbäume, Lesesteinhaufen, Feldsölle, Kopfweiden, Alleen und Streuobstbestände,</w:t>
      </w:r>
    </w:p>
    <w:p>
      <w:r>
        <w:t xml:space="preserve">die unterschiedlich ausgebildeten und noch teilweise intakten Moore in ihrer Funktion als Wasser- und Stoffspeicher sowie als Lebensraum für charakteristische Tier- und Pflanzenarten,</w:t>
      </w:r>
    </w:p>
    <w:p>
      <w:r>
        <w:t xml:space="preserve">die Bedeutung des Gebietes für die überregionale Biotopvernetzung im Havelgebiet,</w:t>
      </w:r>
    </w:p>
    <w:p>
      <w:r>
        <w:t xml:space="preserve">die Bedeutung des Gebietes als Pufferzone für die vom Gebiet umschlossenen Naturschutzgebiete;</w:t>
      </w:r>
    </w:p>
    <w:p>
      <w:r>
        <w:t xml:space="preserve">die Bewahrung der Vielfalt, Eigenart und Schönheit einer eiszeitlich und kulturhistorisch geprägten Landschaft, insbesondere</w:t>
      </w:r>
    </w:p>
    <w:p>
      <w:r>
        <w:t xml:space="preserve">der Havelniederung mit ihren meist großflächigen Gewässern und einer von Grund- und Endmoränen sowie Sanderebenen gebildeten Landschaft,</w:t>
      </w:r>
    </w:p>
    <w:p>
      <w:r>
        <w:t xml:space="preserve">einer reich gegliederten Kulturlandschaft mit ihren kulturhistorischen Siedlungsformen und charakteristischen landschaftsprägenden Elementen sowie der unter Denkmalschutz stehenden Forst-, Park- und Alleeanlagen,</w:t>
      </w:r>
    </w:p>
    <w:p>
      <w:r>
        <w:t xml:space="preserve">der unterschiedlichen Naturräume, wie der Seen und Fließgewässer und der sie begleitenden Röhrichte, Bruchwälder und Feuchtwiesen, der offenen landwirtschaftlich und gartenbaulich genutzten Flächen, der Nadel-, Misch- oder Laubwälder sowie der kleinflächigen, besonders an Anhöhen vorkommenden Trockenrasen;</w:t>
      </w:r>
    </w:p>
    <w:p>
      <w:r>
        <w:t xml:space="preserve">die nachhaltige Sicherung der Erholungsfunktion des Gebietes im Einzugsbereich des Großraumes Berlin sowie der Städte Potsdam und Brandenburg einschließlich einer der Landschaft und Naturausstattung angepaßten Erschließung zum Zwecke der landschaftsgebundenen Erholung;</w:t>
      </w:r>
    </w:p>
    <w:p>
      <w:r>
        <w:t xml:space="preserve">die Entwicklung des Gebietes im Hinblick auf eine nachhaltige und naturverträgliche Landnutzung.</w:t>
      </w:r>
    </w:p>
    <w:p>
      <w:r>
        <w:rPr>
          <w:color w:val="555555"/>
          <w:sz w:val="17"/>
        </w:rPr>
        <w:t xml:space="preserve">Zitiervorschlag: § 3 VO-ID212849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