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VO-ID212849 (Brandenburg) — Geltendmachen von Form- und Verfahrensmängeln</w:t>
      </w:r>
    </w:p>
    <w:p>
      <w:r>
        <w:rPr>
          <w:color w:val="555555"/>
          <w:sz w:val="18"/>
        </w:rPr>
        <w:t xml:space="preserve">Verordnung über das Landschaftsschutzgebiet „Potsdamer Wald- und Havelseengebiet“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Verletzung der Verfahrens- und Formvorschriften des Brandenburgischen Naturschutzgesetzes kann gegen diese Verordnung nur innerhalb von zwei Jahren nach ihrer Verkündung geltend gemacht werden, es sei denn,</w:t>
      </w:r>
    </w:p>
    <w:p>
      <w:r>
        <w:t xml:space="preserve">diese Verordnung ist nicht ordnungsgemäß verkündet worden oder</w:t>
      </w:r>
    </w:p>
    <w:p>
      <w:r>
        <w:t xml:space="preserve">der Form- oder Verfahrensmangel ist zuvor gegenüber dem Ministerium für Umwelt, Naturschutz und Raumordnung unter Angabe der verletzten Rechtsvorschrift und der Tatsache, die den Mangel ergibt, gerügt worden.</w:t>
      </w:r>
    </w:p>
    <w:p>
      <w:r>
        <w:t xml:space="preserve">Eine Verletzung der in § 28 des Brandenburgischen Naturschutzgesetzes genannten Verfahrens- und Formvorschriften ist unbeachtlich, wenn sie nicht schriftlich unter Angabe der verletzten Rechtsvorschrift und des Sachverhalts, der die Verletzung begründen soll, innerhalb eines Jahres nach Inkrafttreten dieser Verordnung gegenüber dem Ministerium für Umwelt, Gesundheit und Verbraucherschutz geltend gemacht worden ist.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10 VO-ID212849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https://recht.nulegal.eu/gesetze/VO-ID212849/10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