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VO-ID212848 (Brandenburg) — Zulässige Handlungen</w:t>
      </w:r>
    </w:p>
    <w:p>
      <w:r>
        <w:rPr>
          <w:color w:val="555555"/>
          <w:sz w:val="18"/>
        </w:rPr>
        <w:t xml:space="preserve">Verordnung über das Landschaftsschutzgebiet „Brandenburger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bleiben zulässig:</w:t>
      </w:r>
    </w:p>
    <w:p>
      <w:r>
        <w:t xml:space="preserve">die im Sinne des § 11 Abs. 2 des Brandenburgischen Naturschutzgesetzes ordnungsgemäße landwirtschaftliche Bodennutzung auf den rechtmäßig dafür genutzten Flächen mit der Maßgabe, dass § 4 Abs. 1 Nr. 2 und 4 sowie § 4 Abs. 2 Nr. 7 bis 9 gilt;</w:t>
      </w:r>
    </w:p>
    <w:p>
      <w:r>
        <w:t xml:space="preserve">die im Sinne des § 11 Abs. 3 des Brandenburgischen Naturschutzgesetzes ordnungsgemäße forstwirtschaftliche Bodennutzung auf den rechtmäßig dafür genutzten Flächen mit der Maßgabe, dass Höhlenbäume erhalten bleiben;</w:t>
      </w:r>
    </w:p>
    <w:p>
      <w:r>
        <w:t xml:space="preserve">die rechtmäßige Ausübung der Jagd;</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dass</w:t>
      </w:r>
    </w:p>
    <w:p>
      <w:r>
        <w:t xml:space="preserve">§ 4 Abs. 1 Nr. 5 für die Angelfischerei gilt, wobei für Fischereiberechtigte und Fischereiausübungsberechtigte das Betreten zum Zwecke des Einsetzens, der Kontrolle und des Entfernens von Fanggeräten und zur ökologisch verträglichen Nutzung abgestorbener Teile von Schilf und Rohrbeständen gemäß § 3 Abs. 1 Satz 2 des Brandenburgischen Fischereigesetzes gestattet bleibt,</w:t>
      </w:r>
    </w:p>
    <w:p>
      <w:r>
        <w:t xml:space="preserve">Fanggeräte und Fangmittel so einzusetzen oder auszustatten sind, dass ein Einschwimmen und eine Gefährdung des Fischotters weitgehend ausgeschlossen ist;</w:t>
      </w:r>
    </w:p>
    <w:p>
      <w:r>
        <w:t xml:space="preserve">die ordnungsgemäße Unterhaltung der Gewässer im Benehmen mit der unteren Naturschutzbehörde und mit der Maßgabe, dass</w:t>
      </w:r>
    </w:p>
    <w:p>
      <w:r>
        <w:t xml:space="preserve">Maßnahmen zeitlich und räumlich derart durchzuführen sind, dass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Zuständige Behörde für die Herstellung des Einvernehmens bei der Unterhaltung der im Schutzgebiet gelegenen Bundeswasserstraßen in Bezug auf die Bedürfnisse der Landeskultur und der Wasserwirtschaft nach § 4 des Bundeswasserstraßengesetzes ist der Landkreis beziehungsweise die kreisfreie Stadt als zuständige untere Naturschutz- und Wasserbehörde;</w:t>
      </w:r>
    </w:p>
    <w:p>
      <w:r>
        <w:t xml:space="preserve">die Anlage und Änderung von Straßen und Wegen im Rahmen von Bodenordnungs- oder Flurneuordnungsverfahren im Einvernehmen mit der gemäß § 17 Abs. 2 des Brandenburgischen Naturschutzgesetzes zuständigen Naturschutzbehörde sowie die ordnungsgemäße Unterhaltung der rechtmäßig bestehenden Anlagen einschließlich der dem öffentlichen Verkehr gewidmeten Straßen und Wege im Benehmen mit der zuständigen unteren Naturschutzbehörde;</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beziehungsweise Erweiterung von Baukörpern, die einer öffentlich-rechtlichen Genehmigung oder Anzeige bedürfen, darstellen, ist das Einvernehmen mit der zuständigen unteren Naturschutzbehörde erforderlich;</w:t>
      </w:r>
    </w:p>
    <w:p>
      <w:r>
        <w:t xml:space="preserve">Handlungen nach § 4 Abs. 1 Nr. 4 und Abs. 2 Nr. 9 in rechtmäßig bestehenden Baumschulen, Gärten, Friedhöfen, Park- und Gartenanlagen;</w:t>
      </w:r>
    </w:p>
    <w:p>
      <w:r>
        <w:t xml:space="preserve">die sonstigen bei In-Kraft-Treten dieser Verordnung auf 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Altlastenverdachtsflächen und Verdachtsflächen sowie Maßnahmen der Altlastensanierung und der Sanierung schädlicher Bodenveränderungen gemäß Bundes-Bodenschutzgesetz sowie Maß- nahmen der Munitionsräumung im Benehmen mit der zuständigen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zuständige untere Naturschutzbehörde ist über die getroffenen Maßnahmen unverzüglich zu unterrichten. Sie kann nachträglich ergänzende Anordnungen zur Vereinbarkeit mit dem Schutzzweck treffen.</w:t>
      </w:r>
    </w:p>
    <w:p>
      <w:r>
        <w:t xml:space="preserve">(2) Die in § 4 Abs. 1 Nr. 5 für das Befahren des Landschaftsschutzgebiets enthaltenen Einschränkungen gelten nicht für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des Landeswaldgesetzes bleibt unberührt.</w:t>
      </w:r>
    </w:p>
    <w:p>
      <w:r>
        <w:rPr>
          <w:color w:val="555555"/>
          <w:sz w:val="17"/>
        </w:rPr>
        <w:t xml:space="preserve">Zitiervorschlag: § 5 VO-ID212848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