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VO-ID212848 (Brandenburg) — Geltendmachen von Form- und Verfahrensmängeln</w:t>
      </w:r>
    </w:p>
    <w:p>
      <w:r>
        <w:rPr>
          <w:color w:val="555555"/>
          <w:sz w:val="18"/>
        </w:rPr>
        <w:t xml:space="preserve">Verordnung über das Landschaftsschutzgebiet „Brandenburger Wald- und 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von Vorschriften des Brandenburgischen Naturschutzgesetzes oder anderer Rechtsvorschriften kann gegen diese Verordnung nur innerhalb von zwei Jahren nach ihrer Verkündung geltend gemacht werden (§ 47 Abs. 1 Nr. 2 und Abs. 2 der Verwaltungsgerichtsordnung in Verbindung mit § 4 Abs. 1 des Brandenburgischen Verwaltungsgerichtsgesetzes).</w:t>
      </w:r>
    </w:p>
    <w:p>
      <w:r>
        <w:rPr>
          <w:color w:val="555555"/>
          <w:sz w:val="17"/>
        </w:rPr>
        <w:t xml:space="preserve">Zitiervorschlag: § 10 VO-ID212848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https://recht.nulegal.eu/gesetze/VO-ID212848/10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