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VO-ID212846 (Brandenburg) — Schutzzweck</w:t>
      </w:r>
    </w:p>
    <w:p>
      <w:r>
        <w:rPr>
          <w:color w:val="555555"/>
          <w:sz w:val="18"/>
        </w:rPr>
        <w:t xml:space="preserve">Verordnung über das Landschaftsschutzgebiet „Elbaue Mühlberg“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Gebiet gehört zum Elbe-Mulde-Tiefland und umfasst die Brandenburger Elbtalniederung. Schutzzweck ist</w:t>
      </w:r>
    </w:p>
    <w:p>
      <w:r>
        <w:t xml:space="preserve">die Erhaltung, Wiederherstellung und Entwicklung der Leistungsfähigkeit des Naturhaushaltes, insbesondere</w:t>
      </w:r>
    </w:p>
    <w:p>
      <w:r>
        <w:t xml:space="preserve">die Bewahrung des Elbe-Ökosystems, der Grünland- und naturnahen Auenbereiche sowie der Uferkanten und -terrassen,</w:t>
      </w:r>
    </w:p>
    <w:p>
      <w:r>
        <w:t xml:space="preserve">der Funktionsfähigkeit der Böden durch Sicherung der Bodeneigenschaften und den Schutz des Bodens vor Bebauung, Verdichtung, Abbau und Erosion,</w:t>
      </w:r>
    </w:p>
    <w:p>
      <w:r>
        <w:t xml:space="preserve">der Funktionsfähigkeit des Wasserhaushaltes,</w:t>
      </w:r>
    </w:p>
    <w:p>
      <w:r>
        <w:t xml:space="preserve">der seltenen, gefährdeten und charakteristischen Lebensräume wie weiträumige grünlandgeprägte Flusslandschaften, Kies- und Schotterbänke, Steilufer sowie Verlandungszonen, Auenwälder, Altarme, Röhrichte, Obstbaumreihen, -alleen und -wiesen,</w:t>
      </w:r>
    </w:p>
    <w:p>
      <w:r>
        <w:t xml:space="preserve">eines landschafts- und länderübergreifenden Biotopverbundes mit der nördlich angrenzenden Elbaue Torgau und dem südlich gelegenen Riesaer Elbetal sowie dem Seußlitzer Elbehügelland,</w:t>
      </w:r>
    </w:p>
    <w:p>
      <w:r>
        <w:t xml:space="preserve">als Überwinterungsgebiet von Seeadlern und störungsarmer Rast- und Überwinterungsplatz für Wat- und Wasservögel,</w:t>
      </w:r>
    </w:p>
    <w:p>
      <w:r>
        <w:t xml:space="preserve">für eine nachhaltige landwirtschaftliche Bodennutzung und den hierdurch bedingten Lebensräumen für wild lebende Tiere und wild wachsende Pflanzen;</w:t>
      </w:r>
    </w:p>
    <w:p>
      <w:r>
        <w:t xml:space="preserve">die Erhaltung und Entwicklung</w:t>
      </w:r>
    </w:p>
    <w:p>
      <w:r>
        <w:t xml:space="preserve">von feuchten Hochstaudenfluren der planaren und montanen bis subalpinen Stufe, mageren Flachland-Mähwiesen (Alopecurus pratensis, Sanguisorba officinalis) sowie Flüssen mit Schlammbänken mit Vegetation des Chenopodion rubri p.p und des Bidention p.p. als Lebensraumtypen nach Anhang I der Richtlinie 92/43/EWG des Rates vom 21. Mai 1992 zur Erhaltung der natürlichen Lebensräume sowie der wild lebenden Tiere und Pflanzen (ABl. EG Nr. L 206 S. 7), zuletzt geändert durch die Richtlinie 97/62/EG vom 27. Oktober 1997 (ABl. EG Nr. L 305 S. 42) – Fauna-Flora-Habitat-Richtlinie,</w:t>
      </w:r>
    </w:p>
    <w:p>
      <w:r>
        <w:t xml:space="preserve">von Auen-Wäldern mit Alnus glutinosa (Schwarz-Erle) und Fraxinus excelsior (Gewöhnliche Esche) (Alno-Padion, Alnion incanae, Salicion albae) als prioritärer Lebensraumtyp nach Anhang I der Fauna-Flora-Habitat-Richtlinie;</w:t>
      </w:r>
    </w:p>
    <w:p>
      <w:r>
        <w:t xml:space="preserve">die Bewahrung der Vielfalt, Eigenart und Schönheit des Landschaftsbildes, insbesondere</w:t>
      </w:r>
    </w:p>
    <w:p>
      <w:r>
        <w:t xml:space="preserve">der durch Grünland geprägten Niederungslandschaft der Elbe mit Deichen und Elbe-Altarmen,</w:t>
      </w:r>
    </w:p>
    <w:p>
      <w:r>
        <w:t xml:space="preserve">der landschaftsprägenden Alleen, Hecken, Feldgehölze und Baumreihen entlang der Straßen, Feldsteinpflasterstraßen, Deiche und Gewässer;</w:t>
      </w:r>
    </w:p>
    <w:p>
      <w:r>
        <w:t xml:space="preserve">die Erhaltung, Entwicklung sowie die teilweise Wiederherstellung des Gebietes wegen seiner besonderen Bedeutung und seines Entwicklungspotenziales für die landschaftsbezogene Erholung, insbesondere für das Wandern, Rad- und Wasserwandern sowie eine landschaftsschonende wasserorientierte Freizeitgestaltung.</w:t>
      </w:r>
    </w:p>
    <w:p>
      <w:r>
        <w:rPr>
          <w:color w:val="555555"/>
          <w:sz w:val="17"/>
        </w:rPr>
        <w:t xml:space="preserve">Zitiervorschlag: § 3 VO-ID212846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