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VO-ID212845 (Brandenburg) — Ordnungswidrigkeiten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 den Verboten des § 4 oder den Maßgaben des § 5</w:t>
      </w:r>
    </w:p>
    <w:p>
      <w:r>
        <w:t xml:space="preserve">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 51</w:t>
      </w:r>
    </w:p>
    <w:p>
      <w:r>
        <w:t xml:space="preserve">129,19 Euro (in Worten: einundfünfzigtausendeinhundertneunundzwanzig Euro,</w:t>
      </w:r>
    </w:p>
    <w:p>
      <w:r>
        <w:t xml:space="preserve">neunzehn Cent) geahndet werden.</w:t>
      </w:r>
    </w:p>
    <w:p>
      <w:r>
        <w:rPr>
          <w:color w:val="555555"/>
          <w:sz w:val="17"/>
        </w:rPr>
        <w:t xml:space="preserve">Zitiervorschlag: § 8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