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VO-ID212845 (Brandenburg) — Befreiungen</w:t>
      </w:r>
    </w:p>
    <w:p>
      <w:r>
        <w:rPr>
          <w:color w:val="555555"/>
          <w:sz w:val="18"/>
        </w:rPr>
        <w:t xml:space="preserve">Verordnung über das Landschaftsschutzgebiet „Ruppiner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untere</w:t>
      </w:r>
    </w:p>
    <w:p>
      <w:r>
        <w:t xml:space="preserve">Naturschutzbehörde auf Antrag gemäß § 72 des</w:t>
      </w:r>
    </w:p>
    <w:p>
      <w:r>
        <w:t xml:space="preserve">Brandenburgischen Naturschutzgesetzes Befreiung gewähren. Dies gilt auch</w:t>
      </w:r>
    </w:p>
    <w:p>
      <w:r>
        <w:t xml:space="preserve">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