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VO-ID212845 (Brandenburg) — Schutzzweck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</w:t>
      </w:r>
    </w:p>
    <w:p>
      <w:r>
        <w:t xml:space="preserve">die Erhaltung und Entwicklung des Gebietes wegen seiner besonderen</w:t>
      </w:r>
    </w:p>
    <w:p>
      <w:r>
        <w:t xml:space="preserve">Bedeutung für die naturnahe Erholung im Einzugsbereich der</w:t>
      </w:r>
    </w:p>
    <w:p>
      <w:r>
        <w:t xml:space="preserve">Ballungsräume Berlin und Potsdam, insbesondere</w:t>
      </w:r>
    </w:p>
    <w:p>
      <w:r>
        <w:t xml:space="preserve">durch eine der Landschaft und Naturausstattung ange passte Förderung</w:t>
      </w:r>
    </w:p>
    <w:p>
      <w:r>
        <w:t xml:space="preserve">der Erlebbarkeit des Landschaftsraums, vor allem der Gewässer und</w:t>
      </w:r>
    </w:p>
    <w:p>
      <w:r>
        <w:t xml:space="preserve">ausgedehnten Waldbestände,</w:t>
      </w:r>
    </w:p>
    <w:p>
      <w:r>
        <w:t xml:space="preserve">durch eine Verbesserung der landschaftlichen Einbindung der</w:t>
      </w:r>
    </w:p>
    <w:p>
      <w:r>
        <w:t xml:space="preserve">Siedlungsbereiche unter Berücksichtigung der historisch gewachsenen</w:t>
      </w:r>
    </w:p>
    <w:p>
      <w:r>
        <w:t xml:space="preserve">dörflichen Strukturen;</w:t>
      </w:r>
    </w:p>
    <w:p>
      <w:r>
        <w:t xml:space="preserve">die Bewahrung der Vielfalt, Eigenart und Schönheit des</w:t>
      </w:r>
    </w:p>
    <w:p>
      <w:r>
        <w:t xml:space="preserve">Landschaftsbildes eines für das Prignitz- und Ruppiner Land sowie für</w:t>
      </w:r>
    </w:p>
    <w:p>
      <w:r>
        <w:t xml:space="preserve">das Nordbrandenburgische Wald- und Seengebiet repräsentativen und</w:t>
      </w:r>
    </w:p>
    <w:p>
      <w:r>
        <w:t xml:space="preserve">charakteristischen Ausschnittes eines eiszeitlich geprägten Wald- und</w:t>
      </w:r>
    </w:p>
    <w:p>
      <w:r>
        <w:t xml:space="preserve">Seengebietes, insbesondere</w:t>
      </w:r>
    </w:p>
    <w:p>
      <w:r>
        <w:t xml:space="preserve">der landschaftsprägenden geomorphologischen Strukturen wie Grund- und</w:t>
      </w:r>
    </w:p>
    <w:p>
      <w:r>
        <w:t xml:space="preserve">Endmoränen, Kuppen und Hangkanten, Talsand- und Sanderflächen,</w:t>
      </w:r>
    </w:p>
    <w:p>
      <w:r>
        <w:t xml:space="preserve">Binnendünen, Sölle, Schmelzwasserrinnen und zahlreichen Rinnen- und</w:t>
      </w:r>
    </w:p>
    <w:p>
      <w:r>
        <w:t xml:space="preserve">Staubeckenseen sowie Moorbildungen,</w:t>
      </w:r>
    </w:p>
    <w:p>
      <w:r>
        <w:t xml:space="preserve">der weiträumigen, wechselhaften Landschaftsstruktur mit</w:t>
      </w:r>
    </w:p>
    <w:p>
      <w:r>
        <w:t xml:space="preserve">vielfältigen Landschaftselementen, wie großflächigen naturnahen</w:t>
      </w:r>
    </w:p>
    <w:p>
      <w:r>
        <w:t xml:space="preserve">Waldgesellschaften, Fließ- und Stillgewässern, Niederungsbereichen</w:t>
      </w:r>
    </w:p>
    <w:p>
      <w:r>
        <w:t xml:space="preserve">mit Bruchwäldern, Röhrichten, Feuchtwiesen und Hochstaudenfluren,</w:t>
      </w:r>
    </w:p>
    <w:p>
      <w:r>
        <w:t xml:space="preserve">Feldgehölzen, Hecken, Solitärbäumen, Äckern, Weiden,</w:t>
      </w:r>
    </w:p>
    <w:p>
      <w:r>
        <w:t xml:space="preserve">Brachen und Trockenrasen,</w:t>
      </w:r>
    </w:p>
    <w:p>
      <w:r>
        <w:t xml:space="preserve">der historisch entstandenen, weiträumigen Siedlungsstrukturen mit</w:t>
      </w:r>
    </w:p>
    <w:p>
      <w:r>
        <w:t xml:space="preserve">Alleen, Parks, Kopfweiden, Lehmstichen, Feldsteinpflasterstraßen,</w:t>
      </w:r>
    </w:p>
    <w:p>
      <w:r>
        <w:t xml:space="preserve">Feldsteinmauern, Lesesteinhaufen und Obstpflanzungen;</w:t>
      </w:r>
    </w:p>
    <w:p>
      <w:r>
        <w:t xml:space="preserve">die Erhaltung und Wiederherstellung der Leistungsfähigkeit des</w:t>
      </w:r>
    </w:p>
    <w:p>
      <w:r>
        <w:t xml:space="preserve">Naturhaushaltes, insbesondere</w:t>
      </w:r>
    </w:p>
    <w:p>
      <w:r>
        <w:t xml:space="preserve">der Funktionsfähigkeit des Wasserhaushaltes sowie die Erhaltung und</w:t>
      </w:r>
    </w:p>
    <w:p>
      <w:r>
        <w:t xml:space="preserve">Wiederherstellung der Wasserqualität der stehenden und fließenden</w:t>
      </w:r>
    </w:p>
    <w:p>
      <w:r>
        <w:t xml:space="preserve">Gewässer einschließlich der Uferzonen, der Verlandungs- und</w:t>
      </w:r>
    </w:p>
    <w:p>
      <w:r>
        <w:t xml:space="preserve">Überflutungsbereiche und der Regenerationsfähigkeit der</w:t>
      </w:r>
    </w:p>
    <w:p>
      <w:r>
        <w:t xml:space="preserve">Gewässer,</w:t>
      </w:r>
    </w:p>
    <w:p>
      <w:r>
        <w:t xml:space="preserve">der Funktionsfähigkeit der mineralischen und organischen Böden,</w:t>
      </w:r>
    </w:p>
    <w:p>
      <w:r>
        <w:t xml:space="preserve">wie nährstoffarme Mineralböden, Gleyböden sowie Anmoor- und</w:t>
      </w:r>
    </w:p>
    <w:p>
      <w:r>
        <w:t xml:space="preserve">Niedermoorböden,</w:t>
      </w:r>
    </w:p>
    <w:p>
      <w:r>
        <w:t xml:space="preserve">der klimatischen Funktion der Wälder und Seen,</w:t>
      </w:r>
    </w:p>
    <w:p>
      <w:r>
        <w:t xml:space="preserve">der Lebensraumfunktion von Niedermooren, Quellbereichen,</w:t>
      </w:r>
    </w:p>
    <w:p>
      <w:r>
        <w:t xml:space="preserve">Kleingewässern, Bachläufen, Alt- und Totarmen, Schwimmblatt- und</w:t>
      </w:r>
    </w:p>
    <w:p>
      <w:r>
        <w:t xml:space="preserve">Röhrichtzonen, Bruchwäldern, Buchen- und Buchenmischwäldern und</w:t>
      </w:r>
    </w:p>
    <w:p>
      <w:r>
        <w:t xml:space="preserve">Trockenrasen,</w:t>
      </w:r>
    </w:p>
    <w:p>
      <w:r>
        <w:t xml:space="preserve">der Puffer- und Vernetzungsfunktion zu den Naturschutzgebieten</w:t>
      </w:r>
    </w:p>
    <w:p>
      <w:r>
        <w:t xml:space="preserve">„Wumm-See und Twern-See“, „Ruppiner Schweiz“,</w:t>
      </w:r>
    </w:p>
    <w:p>
      <w:r>
        <w:t xml:space="preserve">„Kunsterspring“, „Buchheide“,</w:t>
      </w:r>
    </w:p>
    <w:p>
      <w:r>
        <w:t xml:space="preserve">„Himmelreich-See“ sowie „Großer Stechlin-, Nehmitz- und</w:t>
      </w:r>
    </w:p>
    <w:p>
      <w:r>
        <w:t xml:space="preserve">Großer Kruckowsee“ und zum Landschaftsschutzgebiet</w:t>
      </w:r>
    </w:p>
    <w:p>
      <w:r>
        <w:t xml:space="preserve">„Fürstenberger Wald- und Seengebiet“;</w:t>
      </w:r>
    </w:p>
    <w:p>
      <w:r>
        <w:t xml:space="preserve">die Entwicklung des Gebietes im Hinblick auf eine naturverträgliche</w:t>
      </w:r>
    </w:p>
    <w:p>
      <w:r>
        <w:t xml:space="preserve">und nachhaltige Landnutzung.</w:t>
      </w:r>
    </w:p>
    <w:p>
      <w:r>
        <w:rPr>
          <w:color w:val="555555"/>
          <w:sz w:val="17"/>
        </w:rPr>
        <w:t xml:space="preserve">Zitiervorschlag: § 3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